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9CA0D" w14:textId="3E576A19" w:rsidR="00B1358D" w:rsidRPr="000751F4" w:rsidRDefault="000751F4" w:rsidP="00B1358D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bookmarkStart w:id="0" w:name="_GoBack"/>
      <w:bookmarkEnd w:id="0"/>
      <w:r w:rsidRPr="000751F4">
        <w:rPr>
          <w:b/>
          <w:sz w:val="20"/>
          <w:szCs w:val="20"/>
          <w:lang w:val="en-US"/>
        </w:rPr>
        <w:t xml:space="preserve">DEPARTMENT OF </w:t>
      </w:r>
      <w:r>
        <w:rPr>
          <w:b/>
          <w:sz w:val="20"/>
          <w:szCs w:val="20"/>
          <w:lang w:val="en-US"/>
        </w:rPr>
        <w:t>CHEMICAL</w:t>
      </w:r>
      <w:r w:rsidRPr="000751F4">
        <w:rPr>
          <w:b/>
          <w:sz w:val="20"/>
          <w:szCs w:val="20"/>
          <w:lang w:val="en-US"/>
        </w:rPr>
        <w:t xml:space="preserve"> ENGINEERING – UNIVERSITY OF WESTERN MACEDONIA</w:t>
      </w:r>
    </w:p>
    <w:p w14:paraId="6999341B" w14:textId="77777777" w:rsidR="00B1358D" w:rsidRPr="000751F4" w:rsidRDefault="00B1358D" w:rsidP="00B1358D">
      <w:pPr>
        <w:spacing w:after="0" w:line="240" w:lineRule="auto"/>
        <w:rPr>
          <w:b/>
          <w:sz w:val="10"/>
          <w:szCs w:val="1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4536"/>
        <w:gridCol w:w="3112"/>
      </w:tblGrid>
      <w:tr w:rsidR="00B1358D" w:rsidRPr="00D207BE" w14:paraId="7C9D8390" w14:textId="77777777" w:rsidTr="00F33ACE">
        <w:tc>
          <w:tcPr>
            <w:tcW w:w="1980" w:type="dxa"/>
          </w:tcPr>
          <w:p w14:paraId="3570D26A" w14:textId="39E3F64F" w:rsidR="00B1358D" w:rsidRPr="00D207BE" w:rsidRDefault="009C7C93" w:rsidP="00F33ACE">
            <w:pPr>
              <w:jc w:val="right"/>
              <w:rPr>
                <w:b/>
                <w:sz w:val="20"/>
                <w:szCs w:val="20"/>
              </w:rPr>
            </w:pPr>
            <w:r w:rsidRPr="009C7C93">
              <w:rPr>
                <w:b/>
                <w:sz w:val="20"/>
                <w:szCs w:val="20"/>
                <w:lang w:val="en-GB"/>
              </w:rPr>
              <w:t>Name and Surname</w:t>
            </w:r>
            <w:r w:rsidR="00B1358D" w:rsidRPr="009C7C93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536" w:type="dxa"/>
          </w:tcPr>
          <w:p w14:paraId="444507D8" w14:textId="3A8E27E2" w:rsidR="00B1358D" w:rsidRPr="00D207BE" w:rsidRDefault="009C7C93" w:rsidP="00F3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Vasilis </w:t>
            </w:r>
            <w:proofErr w:type="spellStart"/>
            <w:r>
              <w:rPr>
                <w:sz w:val="20"/>
                <w:szCs w:val="20"/>
                <w:lang w:val="en-GB"/>
              </w:rPr>
              <w:t>Evagelopoulos</w:t>
            </w:r>
            <w:proofErr w:type="spellEnd"/>
          </w:p>
        </w:tc>
        <w:tc>
          <w:tcPr>
            <w:tcW w:w="3112" w:type="dxa"/>
          </w:tcPr>
          <w:p w14:paraId="274AD36B" w14:textId="77777777" w:rsidR="00B1358D" w:rsidRPr="00D207BE" w:rsidRDefault="00B1358D" w:rsidP="00F33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6487002" wp14:editId="043AC1AE">
                  <wp:extent cx="858520" cy="856202"/>
                  <wp:effectExtent l="0" t="0" r="0" b="127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NTISTIS_PHOTO_FRONT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58D" w:rsidRPr="009C7C93" w14:paraId="53676B87" w14:textId="77777777" w:rsidTr="00F33ACE">
        <w:tc>
          <w:tcPr>
            <w:tcW w:w="1980" w:type="dxa"/>
          </w:tcPr>
          <w:p w14:paraId="41CD2765" w14:textId="2D5FB1C0" w:rsidR="00B1358D" w:rsidRPr="009C7C93" w:rsidRDefault="009C7C93" w:rsidP="00F33AC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9C7C93">
              <w:rPr>
                <w:b/>
                <w:sz w:val="20"/>
                <w:szCs w:val="20"/>
                <w:lang w:val="en-GB"/>
              </w:rPr>
              <w:t>Specialization/Position</w:t>
            </w:r>
            <w:r w:rsidR="00B1358D" w:rsidRPr="009C7C93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8" w:type="dxa"/>
            <w:gridSpan w:val="2"/>
          </w:tcPr>
          <w:p w14:paraId="766D1FBC" w14:textId="10BB8420" w:rsidR="00B1358D" w:rsidRPr="009C7C93" w:rsidRDefault="009C7C93" w:rsidP="009C7C9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Physician</w:t>
            </w:r>
            <w:r w:rsidR="00B1358D" w:rsidRPr="009C7C93">
              <w:rPr>
                <w:sz w:val="20"/>
                <w:szCs w:val="20"/>
                <w:lang w:val="en-GB"/>
              </w:rPr>
              <w:t>, (</w:t>
            </w:r>
            <w:r w:rsidRPr="009C7C93">
              <w:rPr>
                <w:sz w:val="20"/>
                <w:szCs w:val="20"/>
                <w:lang w:val="en-GB"/>
              </w:rPr>
              <w:t>Lecturer</w:t>
            </w:r>
            <w:r w:rsidR="00B1358D" w:rsidRPr="009C7C93">
              <w:rPr>
                <w:sz w:val="20"/>
                <w:szCs w:val="20"/>
                <w:lang w:val="en-GB"/>
              </w:rPr>
              <w:t xml:space="preserve">, </w:t>
            </w:r>
            <w:r w:rsidRPr="009C7C93">
              <w:rPr>
                <w:sz w:val="20"/>
                <w:szCs w:val="20"/>
                <w:lang w:val="en-GB"/>
              </w:rPr>
              <w:t>Department of Chemical Engineering, UOWM</w:t>
            </w:r>
            <w:r w:rsidR="00B1358D" w:rsidRPr="009C7C93">
              <w:rPr>
                <w:sz w:val="20"/>
                <w:szCs w:val="20"/>
                <w:lang w:val="en-GB"/>
              </w:rPr>
              <w:t>)</w:t>
            </w:r>
          </w:p>
        </w:tc>
      </w:tr>
      <w:tr w:rsidR="00B1358D" w:rsidRPr="00FF5361" w14:paraId="63160333" w14:textId="77777777" w:rsidTr="00F33ACE">
        <w:tc>
          <w:tcPr>
            <w:tcW w:w="1980" w:type="dxa"/>
          </w:tcPr>
          <w:p w14:paraId="4194FA2D" w14:textId="7DD4D343" w:rsidR="00B1358D" w:rsidRPr="00D207BE" w:rsidRDefault="009C7C93" w:rsidP="00F33A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Brief CV</w:t>
            </w:r>
            <w:r w:rsidR="00B1358D" w:rsidRPr="00D207B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2"/>
          </w:tcPr>
          <w:p w14:paraId="55146B6A" w14:textId="631D9309" w:rsidR="009234CF" w:rsidRDefault="009234CF" w:rsidP="00F33AC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Vasilis </w:t>
            </w:r>
            <w:proofErr w:type="spellStart"/>
            <w:r>
              <w:rPr>
                <w:sz w:val="20"/>
                <w:szCs w:val="20"/>
                <w:lang w:val="en-GB"/>
              </w:rPr>
              <w:t>Evangelopoulos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is </w:t>
            </w:r>
            <w:r w:rsidR="000751F4" w:rsidRPr="000751F4">
              <w:rPr>
                <w:sz w:val="20"/>
                <w:szCs w:val="20"/>
                <w:lang w:val="en-GB"/>
              </w:rPr>
              <w:t xml:space="preserve">a Lecturer of the Department of </w:t>
            </w:r>
            <w:r>
              <w:rPr>
                <w:sz w:val="20"/>
                <w:szCs w:val="20"/>
                <w:lang w:val="en-GB"/>
              </w:rPr>
              <w:t>Chemical Engineering department of the University of Western Macedonia (Lecturer) specializing in Chemical Environmental and Computational Technology. He acquired his Physics degree from the University of Ioannina in 1991,</w:t>
            </w:r>
            <w:r w:rsidR="002058B6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postgraduate diploma of specialization in “Chemical En</w:t>
            </w:r>
            <w:r w:rsidR="002058B6">
              <w:rPr>
                <w:sz w:val="20"/>
                <w:szCs w:val="20"/>
                <w:lang w:val="en-GB"/>
              </w:rPr>
              <w:t>vironmental and Computational Technology – Simulation” in 2005 and PhD from the University of Ioannina in 2008.</w:t>
            </w:r>
          </w:p>
          <w:p w14:paraId="10A926C8" w14:textId="2CF5FE4D" w:rsidR="002058B6" w:rsidRDefault="002058B6" w:rsidP="00F33AC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 academical interests revolve around (a) measurement,</w:t>
            </w:r>
            <w:r w:rsidRPr="002058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evaluation and dynamic management of air quality, in-doors air quality (b)analysis of particulate matter using gas chromatography (c) development of software used for presenting atmospheric pollution data.</w:t>
            </w:r>
          </w:p>
          <w:p w14:paraId="2CEEE00C" w14:textId="14F5DE36" w:rsidR="00B1358D" w:rsidRPr="009C7C93" w:rsidRDefault="009C7C93" w:rsidP="0006533B">
            <w:pPr>
              <w:jc w:val="both"/>
              <w:rPr>
                <w:sz w:val="20"/>
                <w:szCs w:val="20"/>
                <w:lang w:val="en-US"/>
              </w:rPr>
            </w:pPr>
            <w:r w:rsidRPr="009C7C93">
              <w:rPr>
                <w:sz w:val="20"/>
                <w:szCs w:val="20"/>
                <w:lang w:val="en-US"/>
              </w:rPr>
              <w:t>His scientific work has been published in 20 articles in international scientific journals as well as in 60 articles in proceeding international and national conferences (&gt;160 citations, h-index = 7, Scopus).</w:t>
            </w:r>
          </w:p>
        </w:tc>
      </w:tr>
      <w:tr w:rsidR="00B1358D" w:rsidRPr="00B27F36" w14:paraId="74817614" w14:textId="77777777" w:rsidTr="00F33ACE">
        <w:tc>
          <w:tcPr>
            <w:tcW w:w="1980" w:type="dxa"/>
          </w:tcPr>
          <w:p w14:paraId="7179D89C" w14:textId="77777777" w:rsidR="003142B2" w:rsidRDefault="009C7C93" w:rsidP="00F33ACE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9C7C93">
              <w:rPr>
                <w:b/>
                <w:sz w:val="20"/>
                <w:szCs w:val="20"/>
                <w:lang w:val="en-GB"/>
              </w:rPr>
              <w:t>Publications</w:t>
            </w:r>
            <w:r w:rsidR="003142B2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118309D0" w14:textId="77777777" w:rsidR="003142B2" w:rsidRDefault="009C7C93" w:rsidP="00F33ACE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9C7C93">
              <w:rPr>
                <w:b/>
                <w:sz w:val="20"/>
                <w:szCs w:val="20"/>
                <w:lang w:val="en-GB"/>
              </w:rPr>
              <w:t>2013-2018</w:t>
            </w:r>
          </w:p>
          <w:p w14:paraId="768FAA7C" w14:textId="6A77D068" w:rsidR="00B1358D" w:rsidRPr="00D207BE" w:rsidRDefault="009C7C93" w:rsidP="00F33ACE">
            <w:pPr>
              <w:jc w:val="right"/>
              <w:rPr>
                <w:b/>
                <w:sz w:val="20"/>
                <w:szCs w:val="20"/>
              </w:rPr>
            </w:pPr>
            <w:r w:rsidRPr="009C7C93">
              <w:rPr>
                <w:b/>
                <w:sz w:val="20"/>
                <w:szCs w:val="20"/>
                <w:lang w:val="en-GB"/>
              </w:rPr>
              <w:t>(up to 5)</w:t>
            </w:r>
          </w:p>
        </w:tc>
        <w:tc>
          <w:tcPr>
            <w:tcW w:w="7648" w:type="dxa"/>
            <w:gridSpan w:val="2"/>
          </w:tcPr>
          <w:p w14:paraId="5B561681" w14:textId="3CE5CA92" w:rsidR="002E64E0" w:rsidRPr="002E64E0" w:rsidRDefault="002E64E0" w:rsidP="002E64E0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Sfikas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A.,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Angelidis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P., Samaras, P.,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Zoras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S., </w:t>
            </w:r>
            <w:proofErr w:type="spellStart"/>
            <w:r w:rsidRPr="002E64E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Evagelopoulos</w:t>
            </w:r>
            <w:proofErr w:type="spellEnd"/>
            <w:r w:rsidRPr="002E64E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, V</w:t>
            </w:r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. Utilization of a multi-parameter sensor network for online monitoring of the water quality in the lignite mining area of Kozani, Greece (2013) Desalination and Water Treatment, 51 (13-15), pp. 2977-2986. </w:t>
            </w:r>
          </w:p>
          <w:p w14:paraId="6D4DB25E" w14:textId="6F5F308D" w:rsidR="002E64E0" w:rsidRPr="002E64E0" w:rsidRDefault="002E64E0" w:rsidP="002E64E0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Zoras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S., </w:t>
            </w:r>
            <w:proofErr w:type="spellStart"/>
            <w:r w:rsidRPr="002E64E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Evagelopoulos</w:t>
            </w:r>
            <w:proofErr w:type="spellEnd"/>
            <w:r w:rsidRPr="002E64E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, V</w:t>
            </w:r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Pytharoulis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I.,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Triantafyllou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A.G.,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Skordas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I.,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Kallos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G. Development and validation of a novel-based combination operational air quality forecasting system in Greece. (2014) Meteorology and Atmospheric Physics, 125 (1-2), pp. 103-125. </w:t>
            </w:r>
          </w:p>
          <w:p w14:paraId="747ADBA1" w14:textId="55773532" w:rsidR="002E64E0" w:rsidRPr="002E64E0" w:rsidRDefault="002E64E0" w:rsidP="002E64E0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Stamatis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Zoras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Argyro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Dimoudi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</w:t>
            </w:r>
            <w:r w:rsidRPr="002E64E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 xml:space="preserve">Vasilis </w:t>
            </w:r>
            <w:proofErr w:type="spellStart"/>
            <w:r w:rsidRPr="002E64E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Evagelopoulos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Spyros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Lyssoudis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Sofia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Dimoudi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Anna-Maria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Tamiolaki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Vasilis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Stathis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Apostolos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Polyzakis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and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Euterpi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Deligiorgi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. Bioclimatic rehabilitation of an open market place by a computational fluid dynamics simulation assessment. Future Cities and Environment (2015) DOI 10.1186/s40984-015-0009-4</w:t>
            </w:r>
          </w:p>
          <w:p w14:paraId="5F5C56F9" w14:textId="07AFBAFF" w:rsidR="00B1358D" w:rsidRPr="002E64E0" w:rsidRDefault="002E64E0" w:rsidP="002E64E0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Tsakmakis</w:t>
            </w:r>
            <w:proofErr w:type="gram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,I</w:t>
            </w:r>
            <w:proofErr w:type="spellEnd"/>
            <w:proofErr w:type="gram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Kokkos,N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Pisinaras,V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Papaevangelou,V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Hatzigiannakis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E.,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Arampatzis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G.,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Gikas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G., Linker, R.,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Zoras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S., </w:t>
            </w:r>
            <w:proofErr w:type="spellStart"/>
            <w:r w:rsidRPr="002E64E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Evagelopoulos</w:t>
            </w:r>
            <w:proofErr w:type="spellEnd"/>
            <w:r w:rsidRPr="002E64E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, V</w:t>
            </w:r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.,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Tsihrintzis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V.A. &amp;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Sylaios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, G.  Operational Precise Irrigation for Cotton Cultivation through the coupling of Meteorological and Crop Growth Models. Water </w:t>
            </w:r>
            <w:proofErr w:type="spellStart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Resour</w:t>
            </w:r>
            <w:proofErr w:type="spellEnd"/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Manage, (2017) Water Resources Management 31(1), pp. 563-580.</w:t>
            </w:r>
          </w:p>
        </w:tc>
      </w:tr>
      <w:tr w:rsidR="00B1358D" w:rsidRPr="002058B6" w14:paraId="70D4ADE5" w14:textId="77777777" w:rsidTr="00F33ACE">
        <w:tc>
          <w:tcPr>
            <w:tcW w:w="1980" w:type="dxa"/>
          </w:tcPr>
          <w:p w14:paraId="6478DD11" w14:textId="77777777" w:rsidR="000751F4" w:rsidRDefault="009C7C93" w:rsidP="00F33ACE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0751F4">
              <w:rPr>
                <w:b/>
                <w:sz w:val="20"/>
                <w:szCs w:val="20"/>
                <w:lang w:val="en-GB"/>
              </w:rPr>
              <w:t>Research Projects</w:t>
            </w:r>
          </w:p>
          <w:p w14:paraId="3E9DB2A0" w14:textId="77777777" w:rsidR="000751F4" w:rsidRDefault="009C7C93" w:rsidP="00F33ACE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0751F4">
              <w:rPr>
                <w:b/>
                <w:sz w:val="20"/>
                <w:szCs w:val="20"/>
                <w:lang w:val="en-GB"/>
              </w:rPr>
              <w:t xml:space="preserve">2013-2018 </w:t>
            </w:r>
          </w:p>
          <w:p w14:paraId="1BB30A23" w14:textId="0BC5CEDD" w:rsidR="00B1358D" w:rsidRPr="00D207BE" w:rsidRDefault="009C7C93" w:rsidP="00F33ACE">
            <w:pPr>
              <w:jc w:val="right"/>
              <w:rPr>
                <w:b/>
                <w:sz w:val="20"/>
                <w:szCs w:val="20"/>
              </w:rPr>
            </w:pPr>
            <w:r w:rsidRPr="000751F4">
              <w:rPr>
                <w:b/>
                <w:sz w:val="20"/>
                <w:szCs w:val="20"/>
                <w:lang w:val="en-GB"/>
              </w:rPr>
              <w:t>(up to 5)</w:t>
            </w:r>
          </w:p>
        </w:tc>
        <w:tc>
          <w:tcPr>
            <w:tcW w:w="7648" w:type="dxa"/>
            <w:gridSpan w:val="2"/>
          </w:tcPr>
          <w:p w14:paraId="2D15D4A9" w14:textId="32231277" w:rsidR="00B1358D" w:rsidRPr="004B296D" w:rsidRDefault="00B1358D" w:rsidP="00724831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 w:rsidRPr="002058B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2058B6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el-GR"/>
              </w:rPr>
              <w:t xml:space="preserve">Surveillance of Atmospheric Pollution Control Systems </w:t>
            </w:r>
            <w:r w:rsidR="004B296D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el-GR"/>
              </w:rPr>
              <w:t>supervised by KEPE-</w:t>
            </w:r>
            <w:proofErr w:type="gramStart"/>
            <w:r w:rsidR="004B296D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el-GR"/>
              </w:rPr>
              <w:t>ELKE(</w:t>
            </w:r>
            <w:proofErr w:type="gramEnd"/>
            <w:r w:rsidR="004B296D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el-GR"/>
              </w:rPr>
              <w:t>2017).</w:t>
            </w:r>
          </w:p>
          <w:p w14:paraId="06882C7C" w14:textId="0A05E866" w:rsidR="004B296D" w:rsidRPr="004B296D" w:rsidRDefault="004B296D" w:rsidP="00724831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 xml:space="preserve">Grimm analyzer Equivalence Demonstration Study and surveillance of atmospheric pollution control systems of KEPE,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EKLE(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2018).</w:t>
            </w:r>
          </w:p>
          <w:p w14:paraId="65545F30" w14:textId="1D9A950D" w:rsidR="004B296D" w:rsidRPr="002058B6" w:rsidRDefault="004B296D" w:rsidP="00724831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Coverage of the air network’s operational needs, EKLE (2019).</w:t>
            </w:r>
          </w:p>
        </w:tc>
      </w:tr>
      <w:tr w:rsidR="00B1358D" w:rsidRPr="004B296D" w14:paraId="719ECFDA" w14:textId="77777777" w:rsidTr="00F33ACE">
        <w:tc>
          <w:tcPr>
            <w:tcW w:w="1980" w:type="dxa"/>
            <w:tcBorders>
              <w:bottom w:val="single" w:sz="4" w:space="0" w:color="auto"/>
            </w:tcBorders>
          </w:tcPr>
          <w:p w14:paraId="2A2014E4" w14:textId="00E5C5F7" w:rsidR="00B1358D" w:rsidRPr="000751F4" w:rsidRDefault="009C7C93" w:rsidP="00F33ACE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0751F4">
              <w:rPr>
                <w:b/>
                <w:sz w:val="20"/>
                <w:szCs w:val="20"/>
                <w:lang w:val="en-GB"/>
              </w:rPr>
              <w:t>Distinctions:</w:t>
            </w:r>
          </w:p>
        </w:tc>
        <w:tc>
          <w:tcPr>
            <w:tcW w:w="7648" w:type="dxa"/>
            <w:gridSpan w:val="2"/>
            <w:tcBorders>
              <w:top w:val="nil"/>
              <w:bottom w:val="single" w:sz="4" w:space="0" w:color="auto"/>
            </w:tcBorders>
          </w:tcPr>
          <w:p w14:paraId="2B5CD8B5" w14:textId="1CC08668" w:rsidR="004B296D" w:rsidRPr="004B296D" w:rsidRDefault="004B296D" w:rsidP="0037633E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Software development and atmospheric pollution data presentation using environmental indexes (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Western Macedonia Region – </w:t>
            </w:r>
            <w:hyperlink r:id="rId7" w:history="1">
              <w:r w:rsidRPr="00D90C70">
                <w:rPr>
                  <w:rStyle w:val="-"/>
                  <w:rFonts w:cstheme="minorHAnsi"/>
                  <w:sz w:val="20"/>
                  <w:szCs w:val="20"/>
                  <w:lang w:val="en-GB"/>
                </w:rPr>
                <w:t>www.kepekozani.gr</w:t>
              </w:r>
            </w:hyperlink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0751F4">
              <w:rPr>
                <w:rFonts w:cstheme="minorHAnsi"/>
                <w:sz w:val="20"/>
                <w:szCs w:val="20"/>
                <w:lang w:val="en-GB"/>
              </w:rPr>
              <w:t>Region of Central Greece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– </w:t>
            </w:r>
            <w:hyperlink r:id="rId8" w:history="1">
              <w:r w:rsidRPr="00D90C70">
                <w:rPr>
                  <w:rStyle w:val="-"/>
                  <w:rFonts w:cstheme="minorHAnsi"/>
                  <w:sz w:val="20"/>
                  <w:szCs w:val="20"/>
                  <w:lang w:val="en-GB"/>
                </w:rPr>
                <w:t>www.airnow-pste.gr</w:t>
              </w:r>
            </w:hyperlink>
            <w:r>
              <w:rPr>
                <w:rFonts w:cstheme="minorHAnsi"/>
                <w:sz w:val="20"/>
                <w:szCs w:val="20"/>
                <w:lang w:val="en-GB"/>
              </w:rPr>
              <w:t xml:space="preserve">, DEH A.E. – </w:t>
            </w:r>
            <w:hyperlink r:id="rId9" w:history="1">
              <w:r w:rsidRPr="00D90C70">
                <w:rPr>
                  <w:rStyle w:val="-"/>
                  <w:rFonts w:cstheme="minorHAnsi"/>
                  <w:sz w:val="20"/>
                  <w:szCs w:val="20"/>
                  <w:lang w:val="en-GB"/>
                </w:rPr>
                <w:t>www.de-dei.gr</w:t>
              </w:r>
            </w:hyperlink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Attiki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Odos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– </w:t>
            </w:r>
            <w:hyperlink r:id="rId10" w:history="1">
              <w:r w:rsidRPr="00D90C70">
                <w:rPr>
                  <w:rStyle w:val="-"/>
                  <w:rFonts w:cstheme="minorHAnsi"/>
                  <w:sz w:val="20"/>
                  <w:szCs w:val="20"/>
                  <w:lang w:val="en-GB"/>
                </w:rPr>
                <w:t>www.dao.gr</w:t>
              </w:r>
            </w:hyperlink>
            <w:r>
              <w:rPr>
                <w:rFonts w:cstheme="minorHAnsi"/>
                <w:sz w:val="20"/>
                <w:szCs w:val="20"/>
                <w:lang w:val="en-GB"/>
              </w:rPr>
              <w:t>).</w:t>
            </w:r>
          </w:p>
          <w:p w14:paraId="570093F0" w14:textId="21E7F95D" w:rsidR="004B296D" w:rsidRPr="004B296D" w:rsidRDefault="004B296D" w:rsidP="0037633E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 of the drafting committee for: “Short-term action plans to tackle atmospheric pollution in the region of Western Macedonia”. Western Macedonia Region (2016).</w:t>
            </w:r>
          </w:p>
          <w:p w14:paraId="47465E5C" w14:textId="1FB14D26" w:rsidR="004B296D" w:rsidRPr="004B296D" w:rsidRDefault="004B296D" w:rsidP="004B2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</w:tbl>
    <w:p w14:paraId="7498D5A1" w14:textId="2A7295F0" w:rsidR="00D96192" w:rsidRPr="004B296D" w:rsidRDefault="00D96192" w:rsidP="00B1358D">
      <w:pPr>
        <w:rPr>
          <w:lang w:val="en-US"/>
        </w:rPr>
      </w:pPr>
    </w:p>
    <w:p w14:paraId="08EEEE0F" w14:textId="512F6F11" w:rsidR="00732455" w:rsidRPr="004B296D" w:rsidRDefault="00732455" w:rsidP="00B1358D">
      <w:pPr>
        <w:rPr>
          <w:lang w:val="en-US"/>
        </w:rPr>
      </w:pPr>
    </w:p>
    <w:p w14:paraId="23C4D32B" w14:textId="50E5D2FD" w:rsidR="00732455" w:rsidRPr="004B296D" w:rsidRDefault="00732455" w:rsidP="00B1358D">
      <w:pPr>
        <w:rPr>
          <w:lang w:val="en-US"/>
        </w:rPr>
      </w:pPr>
    </w:p>
    <w:p w14:paraId="1BDC20DC" w14:textId="0A87DB65" w:rsidR="00732455" w:rsidRPr="004B296D" w:rsidRDefault="00732455" w:rsidP="00B1358D">
      <w:pPr>
        <w:rPr>
          <w:lang w:val="en-US"/>
        </w:rPr>
      </w:pPr>
    </w:p>
    <w:p w14:paraId="18F86F5C" w14:textId="0DD4E2B5" w:rsidR="00B229CE" w:rsidRPr="004B296D" w:rsidRDefault="00B229CE" w:rsidP="00B1358D">
      <w:pPr>
        <w:rPr>
          <w:lang w:val="en-US"/>
        </w:rPr>
      </w:pPr>
    </w:p>
    <w:p w14:paraId="3B09FBC4" w14:textId="77777777" w:rsidR="00B229CE" w:rsidRPr="004B296D" w:rsidRDefault="00B229CE" w:rsidP="00B1358D">
      <w:pPr>
        <w:rPr>
          <w:lang w:val="en-US"/>
        </w:rPr>
      </w:pPr>
    </w:p>
    <w:sectPr w:rsidR="00B229CE" w:rsidRPr="004B296D" w:rsidSect="00FF5361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02D"/>
    <w:multiLevelType w:val="hybridMultilevel"/>
    <w:tmpl w:val="784C9C42"/>
    <w:lvl w:ilvl="0" w:tplc="BF1E6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618A"/>
    <w:multiLevelType w:val="hybridMultilevel"/>
    <w:tmpl w:val="49AE26A2"/>
    <w:lvl w:ilvl="0" w:tplc="D3BC4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489B"/>
    <w:multiLevelType w:val="hybridMultilevel"/>
    <w:tmpl w:val="45D0CCD2"/>
    <w:lvl w:ilvl="0" w:tplc="049C35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D7543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C2616E"/>
    <w:multiLevelType w:val="hybridMultilevel"/>
    <w:tmpl w:val="2B7A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06FBD"/>
    <w:multiLevelType w:val="hybridMultilevel"/>
    <w:tmpl w:val="8080102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zAxNzWxNDQzNjVV0lEKTi0uzszPAykwrAUAPFxKeCwAAAA="/>
  </w:docVars>
  <w:rsids>
    <w:rsidRoot w:val="00B1358D"/>
    <w:rsid w:val="0006533B"/>
    <w:rsid w:val="000751F4"/>
    <w:rsid w:val="002058B6"/>
    <w:rsid w:val="002E64E0"/>
    <w:rsid w:val="003142B2"/>
    <w:rsid w:val="0037633E"/>
    <w:rsid w:val="0039395E"/>
    <w:rsid w:val="00446337"/>
    <w:rsid w:val="004B296D"/>
    <w:rsid w:val="00724831"/>
    <w:rsid w:val="00732455"/>
    <w:rsid w:val="007414A6"/>
    <w:rsid w:val="007434DB"/>
    <w:rsid w:val="007B038C"/>
    <w:rsid w:val="009234CF"/>
    <w:rsid w:val="0092643A"/>
    <w:rsid w:val="009C7C93"/>
    <w:rsid w:val="009D37B2"/>
    <w:rsid w:val="00B1358D"/>
    <w:rsid w:val="00B229CE"/>
    <w:rsid w:val="00D96192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8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58D"/>
    <w:pPr>
      <w:spacing w:after="200" w:line="276" w:lineRule="auto"/>
      <w:ind w:left="720"/>
      <w:contextualSpacing/>
    </w:pPr>
  </w:style>
  <w:style w:type="character" w:styleId="-">
    <w:name w:val="Hyperlink"/>
    <w:rsid w:val="009D37B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296D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semiHidden/>
    <w:unhideWhenUsed/>
    <w:rsid w:val="00075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751F4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3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93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58D"/>
    <w:pPr>
      <w:spacing w:after="200" w:line="276" w:lineRule="auto"/>
      <w:ind w:left="720"/>
      <w:contextualSpacing/>
    </w:pPr>
  </w:style>
  <w:style w:type="character" w:styleId="-">
    <w:name w:val="Hyperlink"/>
    <w:rsid w:val="009D37B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296D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semiHidden/>
    <w:unhideWhenUsed/>
    <w:rsid w:val="00075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751F4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3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9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now-pste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pekozani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o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-de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 Fron</dc:creator>
  <cp:lastModifiedBy>Κώστας</cp:lastModifiedBy>
  <cp:revision>2</cp:revision>
  <dcterms:created xsi:type="dcterms:W3CDTF">2019-07-04T20:36:00Z</dcterms:created>
  <dcterms:modified xsi:type="dcterms:W3CDTF">2019-07-04T20:36:00Z</dcterms:modified>
</cp:coreProperties>
</file>