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1E66F6" w:rsidRDefault="000F4FD4" w:rsidP="00545C78">
      <w:pPr>
        <w:pStyle w:val="ab"/>
        <w:widowControl w:val="0"/>
        <w:numPr>
          <w:ilvl w:val="0"/>
          <w:numId w:val="4"/>
        </w:numPr>
        <w:autoSpaceDE w:val="0"/>
        <w:autoSpaceDN w:val="0"/>
        <w:adjustRightInd w:val="0"/>
        <w:spacing w:before="120"/>
        <w:ind w:left="426" w:hanging="426"/>
        <w:rPr>
          <w:rFonts w:cs="Arial"/>
          <w:b/>
          <w:color w:val="000000"/>
        </w:rPr>
      </w:pPr>
      <w:r w:rsidRPr="001E66F6">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B43F6" w:rsidRDefault="002E47FF" w:rsidP="007673F3">
            <w:pPr>
              <w:rPr>
                <w:rFonts w:ascii="Calibri" w:hAnsi="Calibri" w:cs="Arial"/>
                <w:color w:val="002060"/>
                <w:szCs w:val="20"/>
                <w:lang w:val="el-GR"/>
              </w:rPr>
            </w:pPr>
            <w:r w:rsidRPr="006B43F6">
              <w:rPr>
                <w:rFonts w:ascii="Calibri" w:hAnsi="Calibri" w:cs="Arial"/>
                <w:color w:val="002060"/>
                <w:sz w:val="22"/>
                <w:szCs w:val="20"/>
                <w:lang w:val="el-GR"/>
              </w:rPr>
              <w:t>Πολυτεχνική</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B43F6" w:rsidRDefault="006B43F6" w:rsidP="007673F3">
            <w:pPr>
              <w:rPr>
                <w:rFonts w:ascii="Calibri" w:hAnsi="Calibri" w:cs="Arial"/>
                <w:color w:val="002060"/>
                <w:szCs w:val="20"/>
                <w:lang w:val="el-GR"/>
              </w:rPr>
            </w:pPr>
            <w:r w:rsidRPr="006B43F6">
              <w:rPr>
                <w:rFonts w:ascii="Calibri" w:hAnsi="Calibri" w:cs="Arial"/>
                <w:color w:val="002060"/>
                <w:sz w:val="22"/>
                <w:szCs w:val="20"/>
                <w:lang w:val="el-GR"/>
              </w:rPr>
              <w:t>Χημικών Μηχανικών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6B43F6" w:rsidRDefault="002E47FF" w:rsidP="007673F3">
            <w:pPr>
              <w:rPr>
                <w:rFonts w:ascii="Calibri" w:hAnsi="Calibri" w:cs="Arial"/>
                <w:color w:val="002060"/>
                <w:szCs w:val="20"/>
                <w:lang w:val="el-GR"/>
              </w:rPr>
            </w:pPr>
            <w:r w:rsidRPr="006B43F6">
              <w:rPr>
                <w:rFonts w:ascii="Calibri" w:hAnsi="Calibri" w:cs="Arial"/>
                <w:color w:val="002060"/>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8D57ED" w:rsidRDefault="000F4FD4" w:rsidP="007673F3">
            <w:pPr>
              <w:rPr>
                <w:rFonts w:asciiTheme="minorHAnsi" w:hAnsiTheme="minorHAnsi" w:cstheme="minorHAnsi"/>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8415AF" w:rsidRDefault="008415AF" w:rsidP="007673F3">
            <w:pPr>
              <w:rPr>
                <w:rFonts w:ascii="Calibri" w:hAnsi="Calibri" w:cs="Arial"/>
                <w:b/>
                <w:sz w:val="20"/>
                <w:szCs w:val="20"/>
                <w:lang w:val="el-GR"/>
              </w:rPr>
            </w:pPr>
            <w:r>
              <w:rPr>
                <w:rFonts w:ascii="Calibri" w:hAnsi="Calibri" w:cs="Arial"/>
                <w:b/>
                <w:sz w:val="20"/>
                <w:szCs w:val="20"/>
                <w:lang w:val="el-GR"/>
              </w:rPr>
              <w:t>Γενικής Επιλογής</w:t>
            </w:r>
          </w:p>
        </w:tc>
      </w:tr>
      <w:tr w:rsidR="000F4FD4" w:rsidRPr="008D57E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267CD6" w:rsidRDefault="002E47FF" w:rsidP="008D57ED">
            <w:pPr>
              <w:rPr>
                <w:rFonts w:ascii="Calibri" w:hAnsi="Calibri" w:cs="Arial"/>
                <w:b/>
                <w:sz w:val="20"/>
                <w:szCs w:val="20"/>
              </w:rPr>
            </w:pPr>
            <w:r w:rsidRPr="008415AF">
              <w:rPr>
                <w:rFonts w:ascii="Calibri" w:hAnsi="Calibri" w:cs="Arial"/>
                <w:b/>
                <w:sz w:val="22"/>
                <w:szCs w:val="20"/>
                <w:lang w:val="el-GR"/>
              </w:rPr>
              <w:t xml:space="preserve">Αρχές </w:t>
            </w:r>
            <w:r w:rsidR="008D57ED" w:rsidRPr="008415AF">
              <w:rPr>
                <w:rFonts w:ascii="Calibri" w:hAnsi="Calibri" w:cs="Arial"/>
                <w:b/>
                <w:sz w:val="22"/>
                <w:szCs w:val="20"/>
                <w:lang w:val="el-GR"/>
              </w:rPr>
              <w:t>Αξιολόγησης Επενδύσεων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6B43F6" w:rsidRDefault="006B43F6" w:rsidP="007673F3">
            <w:pPr>
              <w:jc w:val="center"/>
              <w:rPr>
                <w:rFonts w:ascii="Calibri" w:hAnsi="Calibri" w:cs="Arial"/>
                <w:color w:val="002060"/>
                <w:szCs w:val="20"/>
                <w:lang w:val="el-GR"/>
              </w:rPr>
            </w:pPr>
            <w:r w:rsidRPr="006B43F6">
              <w:rPr>
                <w:rFonts w:ascii="Calibri" w:hAnsi="Calibri" w:cs="Arial"/>
                <w:color w:val="002060"/>
                <w:sz w:val="22"/>
                <w:szCs w:val="20"/>
                <w:lang w:val="el-GR"/>
              </w:rPr>
              <w:t>4</w:t>
            </w:r>
          </w:p>
        </w:tc>
        <w:tc>
          <w:tcPr>
            <w:tcW w:w="1240" w:type="dxa"/>
          </w:tcPr>
          <w:p w:rsidR="000F4FD4" w:rsidRPr="00267CD6" w:rsidRDefault="00267CD6" w:rsidP="007673F3">
            <w:pPr>
              <w:jc w:val="center"/>
              <w:rPr>
                <w:rFonts w:ascii="Calibri" w:hAnsi="Calibri" w:cs="Arial"/>
                <w:color w:val="002060"/>
                <w:szCs w:val="20"/>
              </w:rPr>
            </w:pPr>
            <w:r>
              <w:rPr>
                <w:rFonts w:ascii="Calibri" w:hAnsi="Calibri" w:cs="Arial"/>
                <w:color w:val="002060"/>
                <w:sz w:val="22"/>
                <w:szCs w:val="20"/>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2C37F1"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6C4390">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0F4FD4" w:rsidRPr="006B43F6" w:rsidRDefault="008C34FB" w:rsidP="006C4390">
            <w:pPr>
              <w:rPr>
                <w:rFonts w:ascii="Calibri" w:hAnsi="Calibri" w:cs="Arial"/>
                <w:szCs w:val="20"/>
                <w:lang w:val="el-GR"/>
              </w:rPr>
            </w:pPr>
            <w:r w:rsidRPr="006B43F6">
              <w:rPr>
                <w:rFonts w:ascii="Calibri" w:hAnsi="Calibri" w:cs="Arial"/>
                <w:sz w:val="22"/>
                <w:szCs w:val="20"/>
                <w:lang w:val="el-GR"/>
              </w:rPr>
              <w:t>Ανάπτυξη Δεξιοτήτων</w:t>
            </w:r>
          </w:p>
        </w:tc>
      </w:tr>
      <w:tr w:rsidR="000F4FD4" w:rsidRPr="00705AAD" w:rsidTr="006C4390">
        <w:tc>
          <w:tcPr>
            <w:tcW w:w="3205" w:type="dxa"/>
            <w:shd w:val="clear" w:color="auto" w:fill="DDD9C3" w:themeFill="background2" w:themeFillShade="E6"/>
            <w:vAlign w:val="center"/>
          </w:tcPr>
          <w:p w:rsidR="000F4FD4" w:rsidRPr="006C4390" w:rsidRDefault="000F4FD4" w:rsidP="006C4390">
            <w:pPr>
              <w:jc w:val="right"/>
              <w:rPr>
                <w:rFonts w:ascii="Calibri" w:hAnsi="Calibri" w:cs="Arial"/>
                <w:b/>
                <w:sz w:val="20"/>
                <w:szCs w:val="20"/>
              </w:rPr>
            </w:pPr>
            <w:r w:rsidRPr="00705AAD">
              <w:rPr>
                <w:rFonts w:ascii="Calibri" w:hAnsi="Calibri" w:cs="Arial"/>
                <w:b/>
                <w:sz w:val="20"/>
                <w:szCs w:val="20"/>
                <w:lang w:val="el-GR"/>
              </w:rPr>
              <w:t>ΠΡΟΑΠΑΙΤΟΥΜΕΝΑ ΜΑΘΗΜΑΤΑ:</w:t>
            </w:r>
          </w:p>
        </w:tc>
        <w:tc>
          <w:tcPr>
            <w:tcW w:w="5231" w:type="dxa"/>
            <w:gridSpan w:val="5"/>
            <w:vAlign w:val="center"/>
          </w:tcPr>
          <w:p w:rsidR="000F4FD4" w:rsidRPr="006B43F6" w:rsidRDefault="006C4390" w:rsidP="006C4390">
            <w:pPr>
              <w:rPr>
                <w:rFonts w:ascii="Calibri" w:hAnsi="Calibri" w:cs="Arial"/>
                <w:szCs w:val="20"/>
              </w:rPr>
            </w:pPr>
            <w:r w:rsidRPr="006B43F6">
              <w:rPr>
                <w:rFonts w:ascii="Calibri" w:hAnsi="Calibri" w:cs="Arial"/>
                <w:sz w:val="22"/>
                <w:szCs w:val="20"/>
              </w:rPr>
              <w:t>-</w:t>
            </w:r>
          </w:p>
        </w:tc>
      </w:tr>
      <w:tr w:rsidR="000F4FD4" w:rsidRPr="00705AAD"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vAlign w:val="center"/>
          </w:tcPr>
          <w:p w:rsidR="000F4FD4" w:rsidRPr="006B43F6" w:rsidRDefault="00B966A3" w:rsidP="006C4390">
            <w:pPr>
              <w:rPr>
                <w:rFonts w:ascii="Calibri" w:hAnsi="Calibri" w:cs="Arial"/>
                <w:szCs w:val="20"/>
                <w:lang w:val="el-GR"/>
              </w:rPr>
            </w:pPr>
            <w:r w:rsidRPr="006B43F6">
              <w:rPr>
                <w:rFonts w:ascii="Calibri" w:hAnsi="Calibri" w:cs="Arial"/>
                <w:sz w:val="22"/>
                <w:szCs w:val="20"/>
                <w:lang w:val="el-GR"/>
              </w:rPr>
              <w:t>Ελληνικά</w:t>
            </w:r>
          </w:p>
        </w:tc>
      </w:tr>
      <w:tr w:rsidR="000F4FD4" w:rsidRPr="002C37F1"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vAlign w:val="center"/>
          </w:tcPr>
          <w:p w:rsidR="000F4FD4" w:rsidRPr="003116F7" w:rsidRDefault="000F4FD4" w:rsidP="006C4390">
            <w:pPr>
              <w:rPr>
                <w:rFonts w:ascii="Calibri" w:hAnsi="Calibri" w:cs="Arial"/>
                <w:color w:val="002060"/>
                <w:sz w:val="20"/>
                <w:szCs w:val="20"/>
                <w:lang w:val="el-GR"/>
              </w:rPr>
            </w:pPr>
          </w:p>
        </w:tc>
      </w:tr>
      <w:tr w:rsidR="000F4FD4" w:rsidRPr="00705AAD" w:rsidTr="006C4390">
        <w:tc>
          <w:tcPr>
            <w:tcW w:w="3205" w:type="dxa"/>
            <w:shd w:val="clear" w:color="auto" w:fill="DDD9C3" w:themeFill="background2" w:themeFillShade="E6"/>
            <w:vAlign w:val="center"/>
          </w:tcPr>
          <w:p w:rsidR="000F4FD4" w:rsidRPr="00705AAD" w:rsidRDefault="000F4FD4" w:rsidP="006C4390">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vAlign w:val="center"/>
          </w:tcPr>
          <w:p w:rsidR="000F4FD4" w:rsidRPr="006B43F6" w:rsidRDefault="000867C7" w:rsidP="006C4390">
            <w:pPr>
              <w:spacing w:after="200" w:line="276" w:lineRule="auto"/>
              <w:rPr>
                <w:rFonts w:ascii="Calibri" w:eastAsia="Calibri" w:hAnsi="Calibri" w:cs="Arial"/>
                <w:color w:val="002060"/>
                <w:sz w:val="20"/>
                <w:szCs w:val="20"/>
                <w:lang w:val="el-GR"/>
              </w:rPr>
            </w:pPr>
            <w:hyperlink r:id="rId8" w:history="1">
              <w:r w:rsidR="006B43F6" w:rsidRPr="00650044">
                <w:rPr>
                  <w:rStyle w:val="-"/>
                  <w:rFonts w:ascii="Calibri" w:eastAsia="Calibri" w:hAnsi="Calibri"/>
                  <w:sz w:val="20"/>
                  <w:szCs w:val="20"/>
                  <w:lang w:val="en-GB"/>
                </w:rPr>
                <w:t>https://eclass.uowm.gr</w:t>
              </w:r>
            </w:hyperlink>
            <w:r w:rsidR="006B43F6">
              <w:rPr>
                <w:rFonts w:ascii="Calibri" w:eastAsia="Calibri" w:hAnsi="Calibri"/>
                <w:sz w:val="20"/>
                <w:szCs w:val="20"/>
                <w:lang w:val="el-GR"/>
              </w:rPr>
              <w:t xml:space="preserve"> </w:t>
            </w:r>
          </w:p>
        </w:tc>
      </w:tr>
    </w:tbl>
    <w:p w:rsidR="001E66F6" w:rsidRPr="002A5DB2" w:rsidRDefault="001E66F6" w:rsidP="00026AB3">
      <w:pPr>
        <w:widowControl w:val="0"/>
        <w:autoSpaceDE w:val="0"/>
        <w:autoSpaceDN w:val="0"/>
        <w:adjustRightInd w:val="0"/>
        <w:rPr>
          <w:rFonts w:ascii="Calibri" w:hAnsi="Calibri" w:cs="Arial"/>
          <w:b/>
          <w:color w:val="000000"/>
          <w:sz w:val="22"/>
          <w:szCs w:val="22"/>
          <w:lang w:val="en-GB"/>
        </w:rPr>
      </w:pPr>
    </w:p>
    <w:p w:rsidR="000F4FD4" w:rsidRPr="00026AB3" w:rsidRDefault="000F4FD4" w:rsidP="00026AB3">
      <w:pPr>
        <w:pStyle w:val="ab"/>
        <w:widowControl w:val="0"/>
        <w:numPr>
          <w:ilvl w:val="0"/>
          <w:numId w:val="4"/>
        </w:numPr>
        <w:autoSpaceDE w:val="0"/>
        <w:autoSpaceDN w:val="0"/>
        <w:adjustRightInd w:val="0"/>
        <w:spacing w:after="0"/>
        <w:ind w:left="425" w:hanging="425"/>
        <w:rPr>
          <w:rFonts w:cs="Arial"/>
          <w:b/>
          <w:color w:val="000000"/>
        </w:rPr>
      </w:pPr>
      <w:r w:rsidRPr="001E66F6">
        <w:rPr>
          <w:rFonts w:cs="Arial"/>
          <w:b/>
          <w:color w:val="000000"/>
        </w:rPr>
        <w:t>ΜΑΘΗΣΙΑΚΑ ΑΠΟΤΕΛΕΣΜΑΤΑ</w:t>
      </w:r>
    </w:p>
    <w:p w:rsidR="00026AB3" w:rsidRPr="001E66F6" w:rsidRDefault="00026AB3" w:rsidP="00026AB3">
      <w:pPr>
        <w:pStyle w:val="ab"/>
        <w:widowControl w:val="0"/>
        <w:autoSpaceDE w:val="0"/>
        <w:autoSpaceDN w:val="0"/>
        <w:adjustRightInd w:val="0"/>
        <w:spacing w:after="0"/>
        <w:ind w:left="425"/>
        <w:rPr>
          <w:rFonts w:cs="Arial"/>
          <w:b/>
          <w:color w:val="000000"/>
        </w:rPr>
      </w:pP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C37F1"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545C7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545C78">
            <w:pPr>
              <w:widowControl w:val="0"/>
              <w:numPr>
                <w:ilvl w:val="0"/>
                <w:numId w:val="1"/>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545C78">
            <w:pPr>
              <w:widowControl w:val="0"/>
              <w:numPr>
                <w:ilvl w:val="0"/>
                <w:numId w:val="1"/>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C37F1" w:rsidTr="00305D37">
        <w:tc>
          <w:tcPr>
            <w:tcW w:w="8472" w:type="dxa"/>
            <w:gridSpan w:val="2"/>
          </w:tcPr>
          <w:p w:rsidR="00A90D79" w:rsidRPr="00A90D79" w:rsidRDefault="00A90D79" w:rsidP="00A90D79">
            <w:pPr>
              <w:spacing w:line="312" w:lineRule="auto"/>
              <w:jc w:val="both"/>
              <w:rPr>
                <w:rFonts w:asciiTheme="minorHAnsi" w:hAnsiTheme="minorHAnsi" w:cstheme="minorHAnsi"/>
                <w:lang w:val="el-GR"/>
              </w:rPr>
            </w:pPr>
            <w:r w:rsidRPr="00A90D79">
              <w:rPr>
                <w:rFonts w:asciiTheme="minorHAnsi" w:hAnsiTheme="minorHAnsi" w:cstheme="minorHAnsi"/>
                <w:sz w:val="22"/>
                <w:lang w:val="el-GR"/>
              </w:rPr>
              <w:t>Το μάθημα εισάγει τους φοιτητές στην έννοια της επένδυσης, του κεφαλαίου, του πληθωρισμού, της χρονικής αξίας του χρήματος, και του επιχειρηματικού κινδύνου. Επίσης, παρέχει εργαλεία και τεχνικές για τον προσδιορισμό της μελλοντικής και παρούσας αξίας του χρήματος καθώς την ανάλυση και επιλογή επενδυτικών σχεδίων. Μέσω των διαλέξεων, των ασκήσεων και των περιπτώσεων μελέτης (</w:t>
            </w:r>
            <w:r w:rsidRPr="00A90D79">
              <w:rPr>
                <w:rFonts w:asciiTheme="minorHAnsi" w:hAnsiTheme="minorHAnsi" w:cstheme="minorHAnsi"/>
                <w:sz w:val="22"/>
              </w:rPr>
              <w:t>case</w:t>
            </w:r>
            <w:r w:rsidRPr="00A90D79">
              <w:rPr>
                <w:rFonts w:asciiTheme="minorHAnsi" w:hAnsiTheme="minorHAnsi" w:cstheme="minorHAnsi"/>
                <w:sz w:val="22"/>
                <w:lang w:val="el-GR"/>
              </w:rPr>
              <w:t xml:space="preserve"> </w:t>
            </w:r>
            <w:r w:rsidRPr="00A90D79">
              <w:rPr>
                <w:rFonts w:asciiTheme="minorHAnsi" w:hAnsiTheme="minorHAnsi" w:cstheme="minorHAnsi"/>
                <w:sz w:val="22"/>
              </w:rPr>
              <w:t>studies</w:t>
            </w:r>
            <w:r w:rsidRPr="00A90D79">
              <w:rPr>
                <w:rFonts w:asciiTheme="minorHAnsi" w:hAnsiTheme="minorHAnsi" w:cstheme="minorHAnsi"/>
                <w:sz w:val="22"/>
                <w:lang w:val="el-GR"/>
              </w:rPr>
              <w:t>) θα κατανοήσουν τις βασικές έννοιες και εργαλεία αξιολόγησης επενδύσεων. Έτσι, με την ολοκλήρωση του μαθήματος οι φοιτητές θα είναι σε θέση να</w:t>
            </w:r>
          </w:p>
          <w:p w:rsidR="00A90D79" w:rsidRPr="00A90D79" w:rsidRDefault="00A90D79" w:rsidP="00A90D79">
            <w:pPr>
              <w:rPr>
                <w:lang w:val="el-GR"/>
              </w:rPr>
            </w:pP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Κατανοούν τι είναι επένδυση, κεφάλαιο, πληθωρισμός και κόστος κεφαλαίου</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Γνωρίζουν τις πηγές άντλησης κεφαλαίων καθώς και τη διάκριση τους</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lastRenderedPageBreak/>
              <w:t xml:space="preserve">Προσδιορίζουν τη μελλοντική και παρούσα αξία του χρήματος. </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 xml:space="preserve">Εφαρμόζουν τις τεχνικές αξιολόγησης των επενδύσεων </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Προσδιορίζουν την ωφέλιμη διάρκεια μιας επένδυσης</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Επιλέγουν αμοιβαία αποκλειόμενα επενδυτικά σχέδια</w:t>
            </w:r>
          </w:p>
          <w:p w:rsidR="00A90D79" w:rsidRPr="00A90D79" w:rsidRDefault="00A90D79" w:rsidP="00A90D79">
            <w:pPr>
              <w:pStyle w:val="ab"/>
              <w:numPr>
                <w:ilvl w:val="0"/>
                <w:numId w:val="2"/>
              </w:numPr>
              <w:spacing w:line="312" w:lineRule="auto"/>
              <w:ind w:left="284" w:hanging="284"/>
              <w:jc w:val="both"/>
              <w:rPr>
                <w:szCs w:val="24"/>
              </w:rPr>
            </w:pPr>
            <w:r w:rsidRPr="00A90D79">
              <w:rPr>
                <w:szCs w:val="24"/>
              </w:rPr>
              <w:t>Γνωρίζουν την επίδραση του πληθωρισμού στην αξιολόγηση των επενδύσεων</w:t>
            </w:r>
          </w:p>
          <w:p w:rsidR="00F03B25" w:rsidRPr="00A90D79" w:rsidRDefault="00A90D79" w:rsidP="00A90D79">
            <w:pPr>
              <w:pStyle w:val="ab"/>
              <w:numPr>
                <w:ilvl w:val="0"/>
                <w:numId w:val="2"/>
              </w:numPr>
              <w:spacing w:line="312" w:lineRule="auto"/>
              <w:ind w:left="284" w:hanging="284"/>
              <w:jc w:val="both"/>
              <w:rPr>
                <w:sz w:val="24"/>
                <w:szCs w:val="24"/>
              </w:rPr>
            </w:pPr>
            <w:r w:rsidRPr="00A90D79">
              <w:rPr>
                <w:szCs w:val="24"/>
              </w:rPr>
              <w:t>Να σχεδιάζουν τον τρόπο και το ύψος της δόσης για την αποπληρωμή ενός δανείου</w:t>
            </w: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C37F1"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Pr="0084334E" w:rsidRDefault="00664FA8" w:rsidP="00545C78">
            <w:pPr>
              <w:pStyle w:val="ab"/>
              <w:widowControl w:val="0"/>
              <w:numPr>
                <w:ilvl w:val="0"/>
                <w:numId w:val="3"/>
              </w:numPr>
              <w:autoSpaceDE w:val="0"/>
              <w:autoSpaceDN w:val="0"/>
              <w:adjustRightInd w:val="0"/>
              <w:rPr>
                <w:rFonts w:eastAsia="Calibri"/>
              </w:rPr>
            </w:pPr>
            <w:r w:rsidRPr="0084334E">
              <w:rPr>
                <w:rFonts w:eastAsia="Calibri"/>
              </w:rPr>
              <w:t>Λήψη Αποφάσεων</w:t>
            </w:r>
          </w:p>
          <w:p w:rsidR="001E66F6" w:rsidRDefault="001E66F6" w:rsidP="00545C78">
            <w:pPr>
              <w:pStyle w:val="ab"/>
              <w:widowControl w:val="0"/>
              <w:numPr>
                <w:ilvl w:val="0"/>
                <w:numId w:val="3"/>
              </w:numPr>
              <w:autoSpaceDE w:val="0"/>
              <w:autoSpaceDN w:val="0"/>
              <w:adjustRightInd w:val="0"/>
              <w:rPr>
                <w:rFonts w:eastAsia="Calibri"/>
              </w:rPr>
            </w:pPr>
            <w:r w:rsidRPr="0084334E">
              <w:rPr>
                <w:rFonts w:eastAsia="Calibri"/>
              </w:rPr>
              <w:t xml:space="preserve">Ανάλυση και αξιολόγηση </w:t>
            </w:r>
            <w:r w:rsidR="001A0C5A" w:rsidRPr="0084334E">
              <w:rPr>
                <w:rFonts w:eastAsia="Calibri"/>
              </w:rPr>
              <w:t xml:space="preserve">ποσοτικών και ποιοτικών </w:t>
            </w:r>
            <w:r w:rsidRPr="0084334E">
              <w:rPr>
                <w:rFonts w:eastAsia="Calibri"/>
              </w:rPr>
              <w:t>δεδομένων</w:t>
            </w:r>
          </w:p>
          <w:p w:rsidR="002C37F1" w:rsidRDefault="002C37F1" w:rsidP="002C37F1">
            <w:pPr>
              <w:pStyle w:val="ab"/>
              <w:widowControl w:val="0"/>
              <w:numPr>
                <w:ilvl w:val="0"/>
                <w:numId w:val="12"/>
              </w:numPr>
              <w:autoSpaceDE w:val="0"/>
              <w:autoSpaceDN w:val="0"/>
              <w:adjustRightInd w:val="0"/>
              <w:spacing w:after="0"/>
              <w:ind w:left="714" w:hanging="357"/>
              <w:rPr>
                <w:rFonts w:eastAsia="Calibri"/>
              </w:rPr>
            </w:pPr>
            <w:r>
              <w:rPr>
                <w:rFonts w:eastAsia="Calibri"/>
              </w:rPr>
              <w:t>Αναζήτηση, Ανάλυση και Σύνθεση Δεδομένων και Πληροφοριών με τη χρήση απαραίτητων τεχνολογιών</w:t>
            </w:r>
          </w:p>
          <w:p w:rsidR="00664FA8" w:rsidRPr="0084334E" w:rsidRDefault="00664FA8" w:rsidP="00545C78">
            <w:pPr>
              <w:pStyle w:val="ab"/>
              <w:widowControl w:val="0"/>
              <w:numPr>
                <w:ilvl w:val="0"/>
                <w:numId w:val="3"/>
              </w:numPr>
              <w:autoSpaceDE w:val="0"/>
              <w:autoSpaceDN w:val="0"/>
              <w:adjustRightInd w:val="0"/>
              <w:rPr>
                <w:rFonts w:eastAsia="Calibri"/>
              </w:rPr>
            </w:pPr>
            <w:r w:rsidRPr="0084334E">
              <w:rPr>
                <w:rFonts w:eastAsia="Calibri"/>
              </w:rPr>
              <w:t>Ομαδική Εργασία</w:t>
            </w:r>
          </w:p>
          <w:p w:rsidR="000F4FD4" w:rsidRPr="00E367D7" w:rsidRDefault="00664FA8" w:rsidP="00545C78">
            <w:pPr>
              <w:pStyle w:val="ab"/>
              <w:widowControl w:val="0"/>
              <w:numPr>
                <w:ilvl w:val="0"/>
                <w:numId w:val="3"/>
              </w:numPr>
              <w:autoSpaceDE w:val="0"/>
              <w:autoSpaceDN w:val="0"/>
              <w:adjustRightInd w:val="0"/>
              <w:rPr>
                <w:rFonts w:eastAsia="Calibri"/>
                <w:color w:val="002060"/>
              </w:rPr>
            </w:pPr>
            <w:r w:rsidRPr="0084334E">
              <w:rPr>
                <w:rFonts w:eastAsia="Calibri"/>
              </w:rPr>
              <w:t>Αυτόνομη Εργασία</w:t>
            </w:r>
          </w:p>
        </w:tc>
      </w:tr>
    </w:tbl>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A4885" w:rsidRDefault="001A4885">
      <w:pPr>
        <w:rPr>
          <w:rFonts w:ascii="Calibri" w:hAnsi="Calibri"/>
          <w:b/>
          <w:color w:val="000000"/>
          <w:sz w:val="22"/>
          <w:szCs w:val="22"/>
          <w:lang w:val="el-GR"/>
        </w:rPr>
      </w:pPr>
    </w:p>
    <w:p w:rsidR="001E66F6" w:rsidRDefault="001E66F6"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2C37F1" w:rsidRDefault="002C37F1" w:rsidP="00026AB3">
      <w:pPr>
        <w:widowControl w:val="0"/>
        <w:autoSpaceDE w:val="0"/>
        <w:autoSpaceDN w:val="0"/>
        <w:adjustRightInd w:val="0"/>
        <w:rPr>
          <w:rFonts w:ascii="Calibri" w:hAnsi="Calibri" w:cs="Arial"/>
          <w:b/>
          <w:color w:val="000000"/>
          <w:sz w:val="22"/>
          <w:szCs w:val="22"/>
          <w:lang w:val="el-GR"/>
        </w:rPr>
      </w:pPr>
    </w:p>
    <w:p w:rsidR="000F4FD4" w:rsidRPr="00026AB3" w:rsidRDefault="000F4FD4" w:rsidP="00026AB3">
      <w:pPr>
        <w:pStyle w:val="ab"/>
        <w:widowControl w:val="0"/>
        <w:numPr>
          <w:ilvl w:val="0"/>
          <w:numId w:val="4"/>
        </w:numPr>
        <w:autoSpaceDE w:val="0"/>
        <w:autoSpaceDN w:val="0"/>
        <w:adjustRightInd w:val="0"/>
        <w:spacing w:after="0"/>
        <w:ind w:left="425" w:hanging="425"/>
        <w:rPr>
          <w:rFonts w:cs="Arial"/>
          <w:b/>
          <w:color w:val="000000"/>
        </w:rPr>
      </w:pPr>
      <w:r w:rsidRPr="00B26C58">
        <w:rPr>
          <w:rFonts w:cs="Arial"/>
          <w:b/>
          <w:color w:val="000000"/>
        </w:rPr>
        <w:t>ΠΕΡΙΕΧΟΜΕΝΟ ΜΑΘΗΜΑΤΟΣ</w:t>
      </w:r>
    </w:p>
    <w:p w:rsidR="00026AB3" w:rsidRPr="00B26C58" w:rsidRDefault="00026AB3" w:rsidP="00026AB3">
      <w:pPr>
        <w:pStyle w:val="ab"/>
        <w:widowControl w:val="0"/>
        <w:autoSpaceDE w:val="0"/>
        <w:autoSpaceDN w:val="0"/>
        <w:adjustRightInd w:val="0"/>
        <w:spacing w:after="0"/>
        <w:ind w:left="425"/>
        <w:rPr>
          <w:rFonts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6B43F6" w:rsidTr="007673F3">
        <w:tc>
          <w:tcPr>
            <w:tcW w:w="8472" w:type="dxa"/>
          </w:tcPr>
          <w:p w:rsidR="000F4FD4" w:rsidRPr="006C4390" w:rsidRDefault="00A90D79" w:rsidP="006C4390">
            <w:pPr>
              <w:spacing w:line="312" w:lineRule="auto"/>
              <w:jc w:val="both"/>
              <w:rPr>
                <w:rFonts w:asciiTheme="minorHAnsi" w:hAnsiTheme="minorHAnsi" w:cstheme="minorHAnsi"/>
                <w:lang w:val="el-GR"/>
              </w:rPr>
            </w:pPr>
            <w:r w:rsidRPr="00A90D79">
              <w:rPr>
                <w:rFonts w:asciiTheme="minorHAnsi" w:hAnsiTheme="minorHAnsi" w:cstheme="minorHAnsi"/>
                <w:sz w:val="22"/>
                <w:lang w:val="el-GR"/>
              </w:rPr>
              <w:t xml:space="preserve">Επένδυση, κεφάλαιο και κόστος κεφαλαίου. Πηγές άντλησης κεφαλαίων. Ίδια και ξένα κεφάλαιο και η μεταξύ τους σχέση. Κόστος ευκαιρίας, χρονική αξία χρήματος, πληθωρισμός και επιχειρηματικός κίνδυνος. Κεφαλαιοποίηση : Επιτόκιο, Τόκος, Απλή και Σύνθετη. Παρούσα και μελλοντική αξία χρήματος. Ακολουθία </w:t>
            </w:r>
            <w:proofErr w:type="spellStart"/>
            <w:r w:rsidRPr="00A90D79">
              <w:rPr>
                <w:rFonts w:asciiTheme="minorHAnsi" w:hAnsiTheme="minorHAnsi" w:cstheme="minorHAnsi"/>
                <w:sz w:val="22"/>
                <w:lang w:val="el-GR"/>
              </w:rPr>
              <w:t>χρηματοροών</w:t>
            </w:r>
            <w:proofErr w:type="spellEnd"/>
            <w:r w:rsidRPr="00A90D79">
              <w:rPr>
                <w:rFonts w:asciiTheme="minorHAnsi" w:hAnsiTheme="minorHAnsi" w:cstheme="minorHAnsi"/>
                <w:sz w:val="22"/>
                <w:lang w:val="el-GR"/>
              </w:rPr>
              <w:t xml:space="preserve"> (ράντες) : Ληξιπρόθεσμες, προκαταβλητέες, σταθερές και μεταβλητές.  Αξιολόγηση Επενδύσεων κάτω από βεβαιότητα και αβεβαιότητα. Η μεθοδολογία της καθαρής παρούσας αξίας (</w:t>
            </w:r>
            <w:r w:rsidRPr="00A90D79">
              <w:rPr>
                <w:rFonts w:asciiTheme="minorHAnsi" w:hAnsiTheme="minorHAnsi" w:cstheme="minorHAnsi"/>
                <w:sz w:val="22"/>
              </w:rPr>
              <w:t>NPV</w:t>
            </w:r>
            <w:r w:rsidRPr="00A90D79">
              <w:rPr>
                <w:rFonts w:asciiTheme="minorHAnsi" w:hAnsiTheme="minorHAnsi" w:cstheme="minorHAnsi"/>
                <w:sz w:val="22"/>
                <w:lang w:val="el-GR"/>
              </w:rPr>
              <w:t>), του εσωτερικού βαθμού απόδοσης (</w:t>
            </w:r>
            <w:r w:rsidRPr="00A90D79">
              <w:rPr>
                <w:rFonts w:asciiTheme="minorHAnsi" w:hAnsiTheme="minorHAnsi" w:cstheme="minorHAnsi"/>
                <w:sz w:val="22"/>
              </w:rPr>
              <w:t>IRR</w:t>
            </w:r>
            <w:r w:rsidRPr="00A90D79">
              <w:rPr>
                <w:rFonts w:asciiTheme="minorHAnsi" w:hAnsiTheme="minorHAnsi" w:cstheme="minorHAnsi"/>
                <w:sz w:val="22"/>
                <w:lang w:val="el-GR"/>
              </w:rPr>
              <w:t xml:space="preserve">), περίοδος </w:t>
            </w:r>
            <w:proofErr w:type="spellStart"/>
            <w:r w:rsidRPr="00A90D79">
              <w:rPr>
                <w:rFonts w:asciiTheme="minorHAnsi" w:hAnsiTheme="minorHAnsi" w:cstheme="minorHAnsi"/>
                <w:sz w:val="22"/>
                <w:lang w:val="el-GR"/>
              </w:rPr>
              <w:t>επανείσπραξης</w:t>
            </w:r>
            <w:proofErr w:type="spellEnd"/>
            <w:r w:rsidRPr="00A90D79">
              <w:rPr>
                <w:rFonts w:asciiTheme="minorHAnsi" w:hAnsiTheme="minorHAnsi" w:cstheme="minorHAnsi"/>
                <w:sz w:val="22"/>
                <w:lang w:val="el-GR"/>
              </w:rPr>
              <w:t xml:space="preserve"> (</w:t>
            </w:r>
            <w:r w:rsidRPr="00A90D79">
              <w:rPr>
                <w:rFonts w:asciiTheme="minorHAnsi" w:hAnsiTheme="minorHAnsi" w:cstheme="minorHAnsi"/>
                <w:sz w:val="22"/>
              </w:rPr>
              <w:t>Payback</w:t>
            </w:r>
            <w:r w:rsidRPr="00A90D79">
              <w:rPr>
                <w:rFonts w:asciiTheme="minorHAnsi" w:hAnsiTheme="minorHAnsi" w:cstheme="minorHAnsi"/>
                <w:sz w:val="22"/>
                <w:lang w:val="el-GR"/>
              </w:rPr>
              <w:t xml:space="preserve"> </w:t>
            </w:r>
            <w:r w:rsidRPr="00A90D79">
              <w:rPr>
                <w:rFonts w:asciiTheme="minorHAnsi" w:hAnsiTheme="minorHAnsi" w:cstheme="minorHAnsi"/>
                <w:sz w:val="22"/>
              </w:rPr>
              <w:t>Period</w:t>
            </w:r>
            <w:r w:rsidRPr="00A90D79">
              <w:rPr>
                <w:rFonts w:asciiTheme="minorHAnsi" w:hAnsiTheme="minorHAnsi" w:cstheme="minorHAnsi"/>
                <w:sz w:val="22"/>
                <w:lang w:val="el-GR"/>
              </w:rPr>
              <w:t>) και απόδοση επένδυσης (</w:t>
            </w:r>
            <w:r w:rsidRPr="00A90D79">
              <w:rPr>
                <w:rFonts w:asciiTheme="minorHAnsi" w:hAnsiTheme="minorHAnsi" w:cstheme="minorHAnsi"/>
                <w:sz w:val="22"/>
              </w:rPr>
              <w:t>ROI</w:t>
            </w:r>
            <w:r w:rsidRPr="00A90D79">
              <w:rPr>
                <w:rFonts w:asciiTheme="minorHAnsi" w:hAnsiTheme="minorHAnsi" w:cstheme="minorHAnsi"/>
                <w:sz w:val="22"/>
                <w:lang w:val="el-GR"/>
              </w:rPr>
              <w:t>). Ωφέλιμη διάρκεια επένδυσης. Επενδυτικά σχέδια με διαφορετική διάρκεια ζωής. Επιλογή αμοιβαίων αποκλειόμενων επενδυτικών σχεδίων. Επίδραση του πληθωρισμού στην αξιολόγηση των επενδύσεων.</w:t>
            </w:r>
          </w:p>
        </w:tc>
      </w:tr>
    </w:tbl>
    <w:p w:rsidR="00271F7D" w:rsidRDefault="00271F7D">
      <w:pPr>
        <w:rPr>
          <w:rFonts w:ascii="Calibri" w:hAnsi="Calibri" w:cs="Arial"/>
          <w:b/>
          <w:color w:val="000000"/>
          <w:sz w:val="22"/>
          <w:szCs w:val="22"/>
        </w:rPr>
      </w:pPr>
    </w:p>
    <w:p w:rsidR="00A90D79" w:rsidRDefault="00A90D79">
      <w:pPr>
        <w:rPr>
          <w:rFonts w:ascii="Calibri" w:hAnsi="Calibri" w:cs="Arial"/>
          <w:b/>
          <w:color w:val="000000"/>
          <w:sz w:val="22"/>
          <w:szCs w:val="22"/>
        </w:rPr>
      </w:pPr>
      <w:r>
        <w:rPr>
          <w:rFonts w:ascii="Calibri" w:hAnsi="Calibri" w:cs="Arial"/>
          <w:b/>
          <w:color w:val="000000"/>
          <w:sz w:val="22"/>
          <w:szCs w:val="22"/>
        </w:rPr>
        <w:br w:type="page"/>
      </w:r>
    </w:p>
    <w:p w:rsidR="000F4FD4" w:rsidRPr="00705AAD" w:rsidRDefault="000F4FD4" w:rsidP="00545C78">
      <w:pPr>
        <w:widowControl w:val="0"/>
        <w:numPr>
          <w:ilvl w:val="0"/>
          <w:numId w:val="4"/>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2C37F1" w:rsidTr="006C4390">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vAlign w:val="center"/>
          </w:tcPr>
          <w:p w:rsidR="000F4FD4" w:rsidRPr="00642C8D" w:rsidRDefault="0034624F" w:rsidP="006C4390">
            <w:pPr>
              <w:spacing w:line="276" w:lineRule="auto"/>
              <w:rPr>
                <w:rFonts w:ascii="Calibri" w:eastAsia="Calibri" w:hAnsi="Calibri"/>
                <w:iCs/>
                <w:lang w:val="el-GR"/>
              </w:rPr>
            </w:pPr>
            <w:r w:rsidRPr="00642C8D">
              <w:rPr>
                <w:rFonts w:ascii="Calibri" w:eastAsia="Calibri" w:hAnsi="Calibri"/>
                <w:iCs/>
                <w:sz w:val="22"/>
                <w:szCs w:val="22"/>
                <w:lang w:val="el-GR"/>
              </w:rPr>
              <w:t>Πρόσωπο με πρόσωπο στη Τάξη</w:t>
            </w:r>
          </w:p>
        </w:tc>
      </w:tr>
      <w:tr w:rsidR="000F4FD4" w:rsidRPr="00664FA8" w:rsidTr="006C4390">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vAlign w:val="center"/>
          </w:tcPr>
          <w:p w:rsidR="000F4FD4" w:rsidRPr="00A90D79" w:rsidRDefault="0034624F" w:rsidP="00364286">
            <w:pPr>
              <w:jc w:val="both"/>
              <w:rPr>
                <w:rFonts w:ascii="Calibri" w:hAnsi="Calibri" w:cs="Arial"/>
                <w:lang w:val="el-GR"/>
              </w:rPr>
            </w:pPr>
            <w:r w:rsidRPr="00A90D79">
              <w:rPr>
                <w:rFonts w:ascii="Calibri" w:hAnsi="Calibri" w:cs="Arial"/>
                <w:sz w:val="22"/>
                <w:szCs w:val="22"/>
                <w:lang w:val="el-GR"/>
              </w:rPr>
              <w:t xml:space="preserve">Χρήση Τ.Π.Ε </w:t>
            </w:r>
            <w:r w:rsidR="00364286" w:rsidRPr="00A90D79">
              <w:rPr>
                <w:rFonts w:ascii="Calibri" w:hAnsi="Calibri" w:cs="Arial"/>
                <w:sz w:val="22"/>
                <w:szCs w:val="22"/>
                <w:lang w:val="el-GR"/>
              </w:rPr>
              <w:t>(</w:t>
            </w:r>
            <w:r w:rsidR="00364286" w:rsidRPr="00A90D79">
              <w:rPr>
                <w:rFonts w:ascii="Calibri" w:hAnsi="Calibri" w:cs="Arial"/>
                <w:sz w:val="22"/>
                <w:szCs w:val="22"/>
              </w:rPr>
              <w:t>Power</w:t>
            </w:r>
            <w:r w:rsidR="00364286" w:rsidRPr="00A90D79">
              <w:rPr>
                <w:rFonts w:ascii="Calibri" w:hAnsi="Calibri" w:cs="Arial"/>
                <w:sz w:val="22"/>
                <w:szCs w:val="22"/>
                <w:lang w:val="el-GR"/>
              </w:rPr>
              <w:t xml:space="preserve"> </w:t>
            </w:r>
            <w:r w:rsidR="00364286" w:rsidRPr="00A90D79">
              <w:rPr>
                <w:rFonts w:ascii="Calibri" w:hAnsi="Calibri" w:cs="Arial"/>
                <w:sz w:val="22"/>
                <w:szCs w:val="22"/>
              </w:rPr>
              <w:t>point</w:t>
            </w:r>
            <w:r w:rsidR="00364286" w:rsidRPr="00A90D79">
              <w:rPr>
                <w:rFonts w:ascii="Calibri" w:hAnsi="Calibri" w:cs="Arial"/>
                <w:sz w:val="22"/>
                <w:szCs w:val="22"/>
                <w:lang w:val="el-GR"/>
              </w:rPr>
              <w:t xml:space="preserve"> </w:t>
            </w:r>
            <w:r w:rsidR="00364286" w:rsidRPr="00A90D79">
              <w:rPr>
                <w:rFonts w:ascii="Calibri" w:hAnsi="Calibri" w:cs="Arial"/>
                <w:sz w:val="22"/>
                <w:szCs w:val="22"/>
              </w:rPr>
              <w:t>presentations</w:t>
            </w:r>
            <w:r w:rsidR="00364286" w:rsidRPr="00A90D79">
              <w:rPr>
                <w:rFonts w:ascii="Calibri" w:hAnsi="Calibri" w:cs="Arial"/>
                <w:sz w:val="22"/>
                <w:szCs w:val="22"/>
                <w:lang w:val="el-GR"/>
              </w:rPr>
              <w:t xml:space="preserve">) </w:t>
            </w:r>
            <w:r w:rsidRPr="00A90D79">
              <w:rPr>
                <w:rFonts w:ascii="Calibri" w:hAnsi="Calibri" w:cs="Arial"/>
                <w:sz w:val="22"/>
                <w:szCs w:val="22"/>
                <w:lang w:val="el-GR"/>
              </w:rPr>
              <w:t xml:space="preserve">κατά τη διάρκεια της διδασκαλίας. Υποστήριξη Μαθησιακής διαδικασίας μέσω της ηλεκτρονικής πλατφόρμας </w:t>
            </w:r>
            <w:r w:rsidRPr="00A90D79">
              <w:rPr>
                <w:rFonts w:ascii="Calibri" w:hAnsi="Calibri" w:cs="Arial"/>
                <w:sz w:val="22"/>
                <w:szCs w:val="22"/>
              </w:rPr>
              <w:t>e</w:t>
            </w:r>
            <w:r w:rsidRPr="00A90D79">
              <w:rPr>
                <w:rFonts w:ascii="Calibri" w:hAnsi="Calibri" w:cs="Arial"/>
                <w:sz w:val="22"/>
                <w:szCs w:val="22"/>
                <w:lang w:val="el-GR"/>
              </w:rPr>
              <w:t>-</w:t>
            </w:r>
            <w:r w:rsidRPr="00A90D79">
              <w:rPr>
                <w:rFonts w:ascii="Calibri" w:hAnsi="Calibri" w:cs="Arial"/>
                <w:sz w:val="22"/>
                <w:szCs w:val="22"/>
              </w:rPr>
              <w:t>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887587" w:rsidRPr="00705AAD" w:rsidTr="00364286">
              <w:tc>
                <w:tcPr>
                  <w:tcW w:w="2467" w:type="dxa"/>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Διαλέξεις</w:t>
                  </w:r>
                </w:p>
              </w:tc>
              <w:tc>
                <w:tcPr>
                  <w:tcW w:w="2468" w:type="dxa"/>
                  <w:vAlign w:val="center"/>
                </w:tcPr>
                <w:p w:rsidR="00887587" w:rsidRPr="008A7BC7" w:rsidRDefault="00887587" w:rsidP="00816EEA">
                  <w:pPr>
                    <w:jc w:val="center"/>
                    <w:rPr>
                      <w:rFonts w:ascii="Calibri" w:hAnsi="Calibri" w:cs="Arial"/>
                      <w:sz w:val="22"/>
                      <w:szCs w:val="22"/>
                      <w:lang w:val="el-GR"/>
                    </w:rPr>
                  </w:pPr>
                  <w:r w:rsidRPr="008A7BC7">
                    <w:rPr>
                      <w:rFonts w:ascii="Calibri" w:hAnsi="Calibri" w:cs="Arial"/>
                      <w:sz w:val="22"/>
                      <w:szCs w:val="22"/>
                      <w:lang w:val="el-GR"/>
                    </w:rPr>
                    <w:t>39</w:t>
                  </w:r>
                </w:p>
              </w:tc>
            </w:tr>
            <w:tr w:rsidR="00887587" w:rsidRPr="00705AAD" w:rsidTr="00364286">
              <w:tc>
                <w:tcPr>
                  <w:tcW w:w="2467" w:type="dxa"/>
                  <w:shd w:val="clear" w:color="auto" w:fill="auto"/>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Ασκήσεις, Προβλήματα και Ανάλυση Περιπτώσεων</w:t>
                  </w:r>
                </w:p>
              </w:tc>
              <w:tc>
                <w:tcPr>
                  <w:tcW w:w="2468" w:type="dxa"/>
                  <w:vAlign w:val="center"/>
                </w:tcPr>
                <w:p w:rsidR="00887587" w:rsidRPr="00A67F56" w:rsidRDefault="00A67F56" w:rsidP="00816EEA">
                  <w:pPr>
                    <w:jc w:val="center"/>
                    <w:rPr>
                      <w:rFonts w:ascii="Calibri" w:hAnsi="Calibri" w:cs="Arial"/>
                      <w:sz w:val="22"/>
                      <w:szCs w:val="22"/>
                    </w:rPr>
                  </w:pPr>
                  <w:r>
                    <w:rPr>
                      <w:rFonts w:ascii="Calibri" w:hAnsi="Calibri" w:cs="Arial"/>
                      <w:sz w:val="22"/>
                      <w:szCs w:val="22"/>
                    </w:rPr>
                    <w:t>26</w:t>
                  </w:r>
                </w:p>
              </w:tc>
            </w:tr>
            <w:tr w:rsidR="00887587" w:rsidRPr="00705AAD" w:rsidTr="00364286">
              <w:tc>
                <w:tcPr>
                  <w:tcW w:w="2467" w:type="dxa"/>
                  <w:shd w:val="clear" w:color="auto" w:fill="auto"/>
                </w:tcPr>
                <w:p w:rsidR="00887587" w:rsidRPr="008A7BC7" w:rsidRDefault="00887587" w:rsidP="00816EEA">
                  <w:pPr>
                    <w:rPr>
                      <w:rFonts w:ascii="Calibri" w:hAnsi="Calibri"/>
                      <w:iCs/>
                      <w:sz w:val="22"/>
                      <w:szCs w:val="22"/>
                      <w:lang w:val="el-GR"/>
                    </w:rPr>
                  </w:pPr>
                  <w:r w:rsidRPr="008A7BC7">
                    <w:rPr>
                      <w:rFonts w:ascii="Calibri" w:hAnsi="Calibri"/>
                      <w:iCs/>
                      <w:sz w:val="22"/>
                      <w:szCs w:val="22"/>
                      <w:lang w:val="el-GR"/>
                    </w:rPr>
                    <w:t>Αυτοτελή Μελέτη</w:t>
                  </w:r>
                </w:p>
              </w:tc>
              <w:tc>
                <w:tcPr>
                  <w:tcW w:w="2468" w:type="dxa"/>
                  <w:vAlign w:val="center"/>
                </w:tcPr>
                <w:p w:rsidR="00887587" w:rsidRPr="00A67F56" w:rsidRDefault="00A67F56" w:rsidP="00816EEA">
                  <w:pPr>
                    <w:jc w:val="center"/>
                    <w:rPr>
                      <w:rFonts w:ascii="Calibri" w:hAnsi="Calibri" w:cs="Arial"/>
                      <w:sz w:val="22"/>
                      <w:szCs w:val="22"/>
                    </w:rPr>
                  </w:pPr>
                  <w:r>
                    <w:rPr>
                      <w:rFonts w:ascii="Calibri" w:hAnsi="Calibri" w:cs="Arial"/>
                      <w:sz w:val="22"/>
                      <w:szCs w:val="22"/>
                    </w:rPr>
                    <w:t>60</w:t>
                  </w: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lang w:val="el-GR"/>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rPr>
                  </w:pPr>
                </w:p>
              </w:tc>
              <w:tc>
                <w:tcPr>
                  <w:tcW w:w="2468" w:type="dxa"/>
                </w:tcPr>
                <w:p w:rsidR="000F4FD4" w:rsidRPr="00B26C58" w:rsidRDefault="000F4FD4" w:rsidP="007673F3">
                  <w:pPr>
                    <w:rPr>
                      <w:rFonts w:ascii="Calibri" w:hAnsi="Calibri" w:cs="Arial"/>
                      <w:i/>
                      <w:color w:val="002060"/>
                      <w:sz w:val="22"/>
                      <w:szCs w:val="22"/>
                      <w:lang w:val="el-GR"/>
                    </w:rPr>
                  </w:pPr>
                </w:p>
              </w:tc>
            </w:tr>
            <w:tr w:rsidR="000F4FD4" w:rsidRPr="00705AAD" w:rsidTr="007673F3">
              <w:tc>
                <w:tcPr>
                  <w:tcW w:w="2467" w:type="dxa"/>
                  <w:shd w:val="clear" w:color="auto" w:fill="auto"/>
                </w:tcPr>
                <w:p w:rsidR="000F4FD4" w:rsidRPr="00B26C58" w:rsidRDefault="000F4FD4" w:rsidP="007673F3">
                  <w:pPr>
                    <w:rPr>
                      <w:rFonts w:ascii="Calibri" w:hAnsi="Calibri"/>
                      <w:iCs/>
                      <w:color w:val="002060"/>
                      <w:sz w:val="22"/>
                      <w:szCs w:val="22"/>
                      <w:lang w:val="el-GR"/>
                    </w:rPr>
                  </w:pPr>
                </w:p>
              </w:tc>
              <w:tc>
                <w:tcPr>
                  <w:tcW w:w="2468" w:type="dxa"/>
                </w:tcPr>
                <w:p w:rsidR="000F4FD4" w:rsidRPr="00B26C58" w:rsidRDefault="000F4FD4" w:rsidP="007673F3">
                  <w:pPr>
                    <w:jc w:val="center"/>
                    <w:rPr>
                      <w:rFonts w:ascii="Calibri" w:hAnsi="Calibri" w:cs="Arial"/>
                      <w:color w:val="002060"/>
                      <w:sz w:val="22"/>
                      <w:szCs w:val="22"/>
                      <w:lang w:val="el-GR"/>
                    </w:rPr>
                  </w:pPr>
                </w:p>
              </w:tc>
            </w:tr>
            <w:tr w:rsidR="000F4FD4" w:rsidRPr="00705AAD" w:rsidTr="007673F3">
              <w:tc>
                <w:tcPr>
                  <w:tcW w:w="2467" w:type="dxa"/>
                </w:tcPr>
                <w:p w:rsidR="000F4FD4" w:rsidRPr="00A90D79" w:rsidRDefault="000F4FD4" w:rsidP="007673F3">
                  <w:pPr>
                    <w:rPr>
                      <w:rFonts w:ascii="Calibri" w:hAnsi="Calibri"/>
                      <w:iCs/>
                      <w:sz w:val="22"/>
                      <w:szCs w:val="22"/>
                      <w:lang w:val="el-GR"/>
                    </w:rPr>
                  </w:pPr>
                  <w:r w:rsidRPr="00A90D79">
                    <w:rPr>
                      <w:rFonts w:ascii="Calibri" w:hAnsi="Calibri"/>
                      <w:iCs/>
                      <w:sz w:val="22"/>
                      <w:szCs w:val="22"/>
                      <w:lang w:val="el-GR"/>
                    </w:rPr>
                    <w:t>Σύνολο</w:t>
                  </w:r>
                  <w:r w:rsidRPr="00A90D79">
                    <w:rPr>
                      <w:rFonts w:ascii="Calibri" w:hAnsi="Calibri"/>
                      <w:iCs/>
                      <w:sz w:val="22"/>
                      <w:szCs w:val="22"/>
                    </w:rPr>
                    <w:t xml:space="preserve"> </w:t>
                  </w:r>
                  <w:r w:rsidRPr="00A90D79">
                    <w:rPr>
                      <w:rFonts w:ascii="Calibri" w:hAnsi="Calibri"/>
                      <w:iCs/>
                      <w:sz w:val="22"/>
                      <w:szCs w:val="22"/>
                      <w:lang w:val="el-GR"/>
                    </w:rPr>
                    <w:t>Μαθήματος</w:t>
                  </w:r>
                  <w:r w:rsidRPr="00A90D79">
                    <w:rPr>
                      <w:rFonts w:ascii="Calibri" w:hAnsi="Calibri"/>
                      <w:iCs/>
                      <w:sz w:val="22"/>
                      <w:szCs w:val="22"/>
                    </w:rPr>
                    <w:t xml:space="preserve"> </w:t>
                  </w:r>
                </w:p>
              </w:tc>
              <w:tc>
                <w:tcPr>
                  <w:tcW w:w="2468" w:type="dxa"/>
                  <w:vAlign w:val="center"/>
                </w:tcPr>
                <w:p w:rsidR="000F4FD4" w:rsidRPr="00267CD6" w:rsidRDefault="0084334E" w:rsidP="00267CD6">
                  <w:pPr>
                    <w:jc w:val="center"/>
                    <w:rPr>
                      <w:rFonts w:ascii="Calibri" w:hAnsi="Calibri" w:cs="Arial"/>
                      <w:b/>
                      <w:i/>
                      <w:sz w:val="22"/>
                      <w:szCs w:val="22"/>
                    </w:rPr>
                  </w:pPr>
                  <w:r w:rsidRPr="00A90D79">
                    <w:rPr>
                      <w:rFonts w:ascii="Calibri" w:hAnsi="Calibri" w:cs="Arial"/>
                      <w:b/>
                      <w:i/>
                      <w:sz w:val="22"/>
                      <w:szCs w:val="22"/>
                      <w:lang w:val="el-GR"/>
                    </w:rPr>
                    <w:t>1</w:t>
                  </w:r>
                  <w:r w:rsidR="00267CD6">
                    <w:rPr>
                      <w:rFonts w:ascii="Calibri" w:hAnsi="Calibri" w:cs="Arial"/>
                      <w:b/>
                      <w:i/>
                      <w:sz w:val="22"/>
                      <w:szCs w:val="22"/>
                    </w:rPr>
                    <w:t>25</w:t>
                  </w:r>
                </w:p>
              </w:tc>
            </w:tr>
          </w:tbl>
          <w:p w:rsidR="000F4FD4" w:rsidRPr="00705AAD" w:rsidRDefault="000F4FD4" w:rsidP="007673F3">
            <w:pPr>
              <w:rPr>
                <w:rFonts w:ascii="Tahoma" w:hAnsi="Tahoma" w:cs="Tahoma"/>
              </w:rPr>
            </w:pPr>
          </w:p>
        </w:tc>
      </w:tr>
      <w:tr w:rsidR="000F4FD4" w:rsidRPr="001A0C5A"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A67F56" w:rsidRPr="002C37F1" w:rsidRDefault="00A67F56" w:rsidP="007673F3">
            <w:pPr>
              <w:rPr>
                <w:rFonts w:ascii="Calibri" w:hAnsi="Calibri" w:cs="Arial"/>
                <w:lang w:val="el-GR"/>
              </w:rPr>
            </w:pPr>
          </w:p>
          <w:p w:rsidR="000F4FD4" w:rsidRPr="0084334E" w:rsidRDefault="00364286" w:rsidP="007673F3">
            <w:pPr>
              <w:rPr>
                <w:rFonts w:ascii="Calibri" w:hAnsi="Calibri" w:cs="Arial"/>
                <w:lang w:val="el-GR"/>
              </w:rPr>
            </w:pPr>
            <w:r w:rsidRPr="0084334E">
              <w:rPr>
                <w:rFonts w:ascii="Calibri" w:hAnsi="Calibri" w:cs="Arial"/>
                <w:sz w:val="22"/>
                <w:szCs w:val="22"/>
                <w:lang w:val="el-GR"/>
              </w:rPr>
              <w:t xml:space="preserve">Γραπτή Τελική Εξέταση. </w:t>
            </w:r>
          </w:p>
          <w:p w:rsidR="00364286" w:rsidRPr="00B26C58" w:rsidRDefault="00364286" w:rsidP="007673F3">
            <w:pPr>
              <w:rPr>
                <w:rFonts w:ascii="Calibri" w:hAnsi="Calibri" w:cs="Arial"/>
                <w:color w:val="002060"/>
                <w:lang w:val="el-GR"/>
              </w:rPr>
            </w:pPr>
          </w:p>
          <w:p w:rsidR="00364286" w:rsidRPr="00B26C58" w:rsidRDefault="00364286" w:rsidP="007673F3">
            <w:pPr>
              <w:rPr>
                <w:rFonts w:ascii="Calibri" w:hAnsi="Calibri" w:cs="Arial"/>
                <w:color w:val="002060"/>
                <w:lang w:val="el-GR"/>
              </w:rPr>
            </w:pPr>
          </w:p>
          <w:p w:rsidR="00364286" w:rsidRDefault="00364286"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02483" w:rsidRDefault="00002483" w:rsidP="00026AB3">
      <w:pPr>
        <w:widowControl w:val="0"/>
        <w:autoSpaceDE w:val="0"/>
        <w:autoSpaceDN w:val="0"/>
        <w:adjustRightInd w:val="0"/>
        <w:ind w:left="357"/>
        <w:rPr>
          <w:rFonts w:ascii="Calibri" w:hAnsi="Calibri" w:cs="Arial"/>
          <w:b/>
          <w:color w:val="000000"/>
          <w:sz w:val="22"/>
          <w:szCs w:val="22"/>
          <w:lang w:val="el-GR"/>
        </w:rPr>
      </w:pPr>
    </w:p>
    <w:p w:rsidR="000F4FD4" w:rsidRDefault="000F4FD4" w:rsidP="00026AB3">
      <w:pPr>
        <w:widowControl w:val="0"/>
        <w:numPr>
          <w:ilvl w:val="0"/>
          <w:numId w:val="4"/>
        </w:numPr>
        <w:autoSpaceDE w:val="0"/>
        <w:autoSpaceDN w:val="0"/>
        <w:adjustRightInd w:val="0"/>
        <w:spacing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p w:rsidR="00026AB3" w:rsidRPr="00705AAD" w:rsidRDefault="00026AB3" w:rsidP="00026AB3">
      <w:pPr>
        <w:widowControl w:val="0"/>
        <w:autoSpaceDE w:val="0"/>
        <w:autoSpaceDN w:val="0"/>
        <w:adjustRightInd w:val="0"/>
        <w:spacing w:line="276" w:lineRule="auto"/>
        <w:ind w:left="357"/>
        <w:rPr>
          <w:rFonts w:ascii="Calibri" w:hAnsi="Calibri" w:cs="Arial"/>
          <w:b/>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05AAD" w:rsidTr="007673F3">
        <w:tc>
          <w:tcPr>
            <w:tcW w:w="8472" w:type="dxa"/>
          </w:tcPr>
          <w:p w:rsidR="001A1C52" w:rsidRPr="00B26C58" w:rsidRDefault="00A8723B" w:rsidP="00A8723B">
            <w:pPr>
              <w:pStyle w:val="ab"/>
              <w:ind w:left="0"/>
              <w:jc w:val="both"/>
              <w:rPr>
                <w:rFonts w:cs="Arial"/>
                <w:i/>
              </w:rPr>
            </w:pPr>
            <w:r>
              <w:rPr>
                <w:rFonts w:cs="Arial"/>
                <w:i/>
                <w:sz w:val="16"/>
                <w:szCs w:val="16"/>
              </w:rPr>
              <w:t xml:space="preserve">- </w:t>
            </w:r>
            <w:r w:rsidR="000F4FD4" w:rsidRPr="00B26C58">
              <w:rPr>
                <w:rFonts w:cs="Arial"/>
                <w:i/>
              </w:rPr>
              <w:t>Προτεινόμενη Βιβλι</w:t>
            </w:r>
            <w:r w:rsidR="001A1C52" w:rsidRPr="00B26C58">
              <w:rPr>
                <w:rFonts w:cs="Arial"/>
                <w:i/>
              </w:rPr>
              <w:t>ογραφία</w:t>
            </w:r>
            <w:r w:rsidR="000F4FD4" w:rsidRPr="00B26C58">
              <w:rPr>
                <w:rFonts w:cs="Arial"/>
                <w:i/>
              </w:rPr>
              <w:t>:</w:t>
            </w:r>
          </w:p>
          <w:p w:rsidR="002C3115" w:rsidRPr="002F11AF" w:rsidRDefault="002C3115" w:rsidP="00B26C58">
            <w:pPr>
              <w:numPr>
                <w:ilvl w:val="0"/>
                <w:numId w:val="7"/>
              </w:numPr>
              <w:tabs>
                <w:tab w:val="clear" w:pos="1474"/>
                <w:tab w:val="num" w:pos="-6768"/>
              </w:tabs>
              <w:ind w:left="432" w:hanging="360"/>
              <w:jc w:val="both"/>
              <w:rPr>
                <w:rFonts w:asciiTheme="minorHAnsi" w:hAnsiTheme="minorHAnsi" w:cstheme="minorHAnsi"/>
                <w:b/>
                <w:lang w:val="el-GR"/>
              </w:rPr>
            </w:pPr>
            <w:r w:rsidRPr="00B26C58">
              <w:rPr>
                <w:rFonts w:asciiTheme="minorHAnsi" w:hAnsiTheme="minorHAnsi" w:cstheme="minorHAnsi"/>
                <w:sz w:val="22"/>
                <w:szCs w:val="22"/>
                <w:lang w:val="el-GR"/>
              </w:rPr>
              <w:t xml:space="preserve">Παναγιώτης, Π., </w:t>
            </w:r>
            <w:r w:rsidR="002F11AF">
              <w:rPr>
                <w:rFonts w:asciiTheme="minorHAnsi" w:hAnsiTheme="minorHAnsi" w:cstheme="minorHAnsi"/>
                <w:sz w:val="22"/>
                <w:szCs w:val="22"/>
                <w:lang w:val="el-GR"/>
              </w:rPr>
              <w:t xml:space="preserve">(2010), </w:t>
            </w:r>
            <w:r w:rsidRPr="00B26C58">
              <w:rPr>
                <w:rFonts w:asciiTheme="minorHAnsi" w:hAnsiTheme="minorHAnsi" w:cstheme="minorHAnsi"/>
                <w:sz w:val="22"/>
                <w:szCs w:val="22"/>
                <w:lang w:val="el-GR"/>
              </w:rPr>
              <w:t xml:space="preserve">«Αξιολόγηση Επενδύσεων», Εκδόσεις </w:t>
            </w:r>
            <w:proofErr w:type="spellStart"/>
            <w:r w:rsidRPr="00B26C58">
              <w:rPr>
                <w:rFonts w:asciiTheme="minorHAnsi" w:hAnsiTheme="minorHAnsi" w:cstheme="minorHAnsi"/>
                <w:sz w:val="22"/>
                <w:szCs w:val="22"/>
              </w:rPr>
              <w:t>Quaestor</w:t>
            </w:r>
            <w:proofErr w:type="spellEnd"/>
            <w:r w:rsidRPr="00B26C58">
              <w:rPr>
                <w:rFonts w:asciiTheme="minorHAnsi" w:hAnsiTheme="minorHAnsi" w:cstheme="minorHAnsi"/>
                <w:sz w:val="22"/>
                <w:szCs w:val="22"/>
                <w:lang w:val="el-GR"/>
              </w:rPr>
              <w:t xml:space="preserve">, Αθήνα </w:t>
            </w:r>
          </w:p>
          <w:p w:rsidR="002F11AF" w:rsidRPr="00B26C58" w:rsidRDefault="002F11AF" w:rsidP="002F11AF">
            <w:pPr>
              <w:numPr>
                <w:ilvl w:val="0"/>
                <w:numId w:val="7"/>
              </w:numPr>
              <w:tabs>
                <w:tab w:val="clear" w:pos="1474"/>
                <w:tab w:val="num" w:pos="-6768"/>
              </w:tabs>
              <w:ind w:left="432" w:hanging="360"/>
              <w:jc w:val="both"/>
              <w:rPr>
                <w:rFonts w:asciiTheme="minorHAnsi" w:hAnsiTheme="minorHAnsi" w:cstheme="minorHAnsi"/>
                <w:b/>
                <w:lang w:val="el-GR"/>
              </w:rPr>
            </w:pPr>
            <w:r w:rsidRPr="00B26C58">
              <w:rPr>
                <w:rFonts w:asciiTheme="minorHAnsi" w:hAnsiTheme="minorHAnsi" w:cstheme="minorHAnsi"/>
                <w:sz w:val="22"/>
                <w:szCs w:val="22"/>
                <w:lang w:val="el-GR"/>
              </w:rPr>
              <w:t xml:space="preserve">Παναγιώτης, Π., </w:t>
            </w:r>
            <w:r>
              <w:rPr>
                <w:rFonts w:asciiTheme="minorHAnsi" w:hAnsiTheme="minorHAnsi" w:cstheme="minorHAnsi"/>
                <w:sz w:val="22"/>
                <w:szCs w:val="22"/>
                <w:lang w:val="el-GR"/>
              </w:rPr>
              <w:t xml:space="preserve">(2010), </w:t>
            </w:r>
            <w:r w:rsidRPr="00B26C58">
              <w:rPr>
                <w:rFonts w:asciiTheme="minorHAnsi" w:hAnsiTheme="minorHAnsi" w:cstheme="minorHAnsi"/>
                <w:sz w:val="22"/>
                <w:szCs w:val="22"/>
                <w:lang w:val="el-GR"/>
              </w:rPr>
              <w:t xml:space="preserve">«Χρηματοοικονομική Διοίκηση και Τραπεζική Οικονομική : Ασκήσεις και Λύσεις Ασκήσεων», Εκδόσεις </w:t>
            </w:r>
            <w:proofErr w:type="spellStart"/>
            <w:r w:rsidRPr="00B26C58">
              <w:rPr>
                <w:rFonts w:asciiTheme="minorHAnsi" w:hAnsiTheme="minorHAnsi" w:cstheme="minorHAnsi"/>
                <w:sz w:val="22"/>
                <w:szCs w:val="22"/>
              </w:rPr>
              <w:t>Quaestor</w:t>
            </w:r>
            <w:proofErr w:type="spellEnd"/>
            <w:r w:rsidRPr="00B26C58">
              <w:rPr>
                <w:rFonts w:asciiTheme="minorHAnsi" w:hAnsiTheme="minorHAnsi" w:cstheme="minorHAnsi"/>
                <w:sz w:val="22"/>
                <w:szCs w:val="22"/>
                <w:lang w:val="el-GR"/>
              </w:rPr>
              <w:t>, 2</w:t>
            </w:r>
            <w:r w:rsidRPr="00B26C58">
              <w:rPr>
                <w:rFonts w:asciiTheme="minorHAnsi" w:hAnsiTheme="minorHAnsi" w:cstheme="minorHAnsi"/>
                <w:sz w:val="22"/>
                <w:szCs w:val="22"/>
                <w:vertAlign w:val="superscript"/>
                <w:lang w:val="el-GR"/>
              </w:rPr>
              <w:t>η</w:t>
            </w:r>
            <w:r w:rsidRPr="00B26C58">
              <w:rPr>
                <w:rFonts w:asciiTheme="minorHAnsi" w:hAnsiTheme="minorHAnsi" w:cstheme="minorHAnsi"/>
                <w:sz w:val="22"/>
                <w:szCs w:val="22"/>
                <w:lang w:val="el-GR"/>
              </w:rPr>
              <w:t xml:space="preserve"> Έκδοση, Αθήνα</w:t>
            </w:r>
          </w:p>
          <w:p w:rsidR="002C3115" w:rsidRPr="0084334E" w:rsidRDefault="002C3115" w:rsidP="00B26C58">
            <w:pPr>
              <w:numPr>
                <w:ilvl w:val="0"/>
                <w:numId w:val="6"/>
              </w:numPr>
              <w:tabs>
                <w:tab w:val="clear" w:pos="1474"/>
                <w:tab w:val="num" w:pos="-6768"/>
              </w:tabs>
              <w:ind w:left="432" w:hanging="360"/>
              <w:jc w:val="both"/>
              <w:rPr>
                <w:rFonts w:asciiTheme="minorHAnsi" w:hAnsiTheme="minorHAnsi" w:cstheme="minorHAnsi"/>
                <w:b/>
                <w:lang w:val="el-GR"/>
              </w:rPr>
            </w:pPr>
            <w:proofErr w:type="spellStart"/>
            <w:r w:rsidRPr="00B26C58">
              <w:rPr>
                <w:rFonts w:asciiTheme="minorHAnsi" w:hAnsiTheme="minorHAnsi" w:cstheme="minorHAnsi"/>
                <w:sz w:val="22"/>
                <w:szCs w:val="22"/>
                <w:lang w:val="el-GR"/>
              </w:rPr>
              <w:t>Ρετινιώτης</w:t>
            </w:r>
            <w:proofErr w:type="spellEnd"/>
            <w:r w:rsidRPr="00B26C58">
              <w:rPr>
                <w:rFonts w:asciiTheme="minorHAnsi" w:hAnsiTheme="minorHAnsi" w:cstheme="minorHAnsi"/>
                <w:sz w:val="22"/>
                <w:szCs w:val="22"/>
                <w:lang w:val="el-GR"/>
              </w:rPr>
              <w:t xml:space="preserve">, Σ., </w:t>
            </w:r>
            <w:r w:rsidR="002F11AF">
              <w:rPr>
                <w:rFonts w:asciiTheme="minorHAnsi" w:hAnsiTheme="minorHAnsi" w:cstheme="minorHAnsi"/>
                <w:sz w:val="22"/>
                <w:szCs w:val="22"/>
                <w:lang w:val="el-GR"/>
              </w:rPr>
              <w:t xml:space="preserve">(2005), </w:t>
            </w:r>
            <w:r w:rsidRPr="00B26C58">
              <w:rPr>
                <w:rFonts w:asciiTheme="minorHAnsi" w:hAnsiTheme="minorHAnsi" w:cstheme="minorHAnsi"/>
                <w:sz w:val="22"/>
                <w:szCs w:val="22"/>
                <w:lang w:val="el-GR"/>
              </w:rPr>
              <w:t>«Κριτήρια Αξιολόγησης Επενδύσεων», Εκδόσεις Νέων Τεχνολογιών, Αθήνα</w:t>
            </w:r>
          </w:p>
          <w:p w:rsidR="0084334E" w:rsidRPr="0084334E" w:rsidRDefault="0084334E" w:rsidP="00B26C58">
            <w:pPr>
              <w:numPr>
                <w:ilvl w:val="0"/>
                <w:numId w:val="6"/>
              </w:numPr>
              <w:tabs>
                <w:tab w:val="clear" w:pos="1474"/>
                <w:tab w:val="num" w:pos="-6768"/>
              </w:tabs>
              <w:ind w:left="432" w:hanging="360"/>
              <w:jc w:val="both"/>
              <w:rPr>
                <w:rFonts w:asciiTheme="minorHAnsi" w:hAnsiTheme="minorHAnsi" w:cstheme="minorHAnsi"/>
                <w:b/>
              </w:rPr>
            </w:pPr>
            <w:r>
              <w:rPr>
                <w:rFonts w:asciiTheme="minorHAnsi" w:hAnsiTheme="minorHAnsi" w:cstheme="minorHAnsi"/>
                <w:sz w:val="22"/>
                <w:szCs w:val="22"/>
              </w:rPr>
              <w:t xml:space="preserve">Broadbent M. and Cullen J., </w:t>
            </w:r>
            <w:r w:rsidR="002F11AF" w:rsidRPr="002F11AF">
              <w:rPr>
                <w:rFonts w:asciiTheme="minorHAnsi" w:hAnsiTheme="minorHAnsi" w:cstheme="minorHAnsi"/>
                <w:sz w:val="22"/>
                <w:szCs w:val="22"/>
              </w:rPr>
              <w:t xml:space="preserve">(2003), </w:t>
            </w:r>
            <w:r w:rsidRPr="0084334E">
              <w:rPr>
                <w:rFonts w:asciiTheme="minorHAnsi" w:hAnsiTheme="minorHAnsi" w:cstheme="minorHAnsi"/>
                <w:sz w:val="22"/>
                <w:szCs w:val="22"/>
              </w:rPr>
              <w:t>«</w:t>
            </w:r>
            <w:r>
              <w:rPr>
                <w:rFonts w:asciiTheme="minorHAnsi" w:hAnsiTheme="minorHAnsi" w:cstheme="minorHAnsi"/>
                <w:sz w:val="22"/>
                <w:szCs w:val="22"/>
              </w:rPr>
              <w:t>Managing Financial Resources</w:t>
            </w:r>
            <w:r w:rsidRPr="0084334E">
              <w:rPr>
                <w:rFonts w:asciiTheme="minorHAnsi" w:hAnsiTheme="minorHAnsi" w:cstheme="minorHAnsi"/>
                <w:sz w:val="22"/>
                <w:szCs w:val="22"/>
              </w:rPr>
              <w:t>»</w:t>
            </w:r>
            <w:r>
              <w:rPr>
                <w:rFonts w:asciiTheme="minorHAnsi" w:hAnsiTheme="minorHAnsi" w:cstheme="minorHAnsi"/>
                <w:sz w:val="22"/>
                <w:szCs w:val="22"/>
              </w:rPr>
              <w:t>,</w:t>
            </w:r>
            <w:r w:rsidRPr="0084334E">
              <w:rPr>
                <w:rFonts w:asciiTheme="minorHAnsi" w:hAnsiTheme="minorHAnsi" w:cstheme="minorHAnsi"/>
                <w:sz w:val="22"/>
                <w:szCs w:val="22"/>
              </w:rPr>
              <w:t xml:space="preserve"> 3</w:t>
            </w:r>
            <w:r w:rsidRPr="0084334E">
              <w:rPr>
                <w:rFonts w:asciiTheme="minorHAnsi" w:hAnsiTheme="minorHAnsi" w:cstheme="minorHAnsi"/>
                <w:sz w:val="22"/>
                <w:szCs w:val="22"/>
                <w:vertAlign w:val="superscript"/>
              </w:rPr>
              <w:t>rd</w:t>
            </w:r>
            <w:r>
              <w:rPr>
                <w:rFonts w:asciiTheme="minorHAnsi" w:hAnsiTheme="minorHAnsi" w:cstheme="minorHAnsi"/>
                <w:sz w:val="22"/>
                <w:szCs w:val="22"/>
              </w:rPr>
              <w:t xml:space="preserve"> Edition, Butterworth-Heinemann</w:t>
            </w:r>
          </w:p>
          <w:p w:rsidR="00BF7718" w:rsidRPr="00B26C58" w:rsidRDefault="00BF7718" w:rsidP="00B26C58">
            <w:pPr>
              <w:numPr>
                <w:ilvl w:val="0"/>
                <w:numId w:val="7"/>
              </w:numPr>
              <w:tabs>
                <w:tab w:val="clear" w:pos="1474"/>
                <w:tab w:val="num" w:pos="-6768"/>
              </w:tabs>
              <w:ind w:left="432" w:hanging="360"/>
              <w:jc w:val="both"/>
              <w:rPr>
                <w:rFonts w:asciiTheme="minorHAnsi" w:hAnsiTheme="minorHAnsi" w:cstheme="minorHAnsi"/>
                <w:b/>
                <w:lang w:val="el-GR"/>
              </w:rPr>
            </w:pPr>
            <w:r w:rsidRPr="00B26C58">
              <w:rPr>
                <w:rFonts w:asciiTheme="minorHAnsi" w:hAnsiTheme="minorHAnsi" w:cstheme="minorHAnsi"/>
                <w:sz w:val="22"/>
                <w:szCs w:val="22"/>
                <w:lang w:val="el-GR"/>
              </w:rPr>
              <w:t xml:space="preserve">Παναγιώτης, Π., </w:t>
            </w:r>
            <w:r w:rsidR="002F11AF">
              <w:rPr>
                <w:rFonts w:asciiTheme="minorHAnsi" w:hAnsiTheme="minorHAnsi" w:cstheme="minorHAnsi"/>
                <w:sz w:val="22"/>
                <w:szCs w:val="22"/>
                <w:lang w:val="el-GR"/>
              </w:rPr>
              <w:t xml:space="preserve">(2002), </w:t>
            </w:r>
            <w:r w:rsidRPr="00B26C58">
              <w:rPr>
                <w:rFonts w:asciiTheme="minorHAnsi" w:hAnsiTheme="minorHAnsi" w:cstheme="minorHAnsi"/>
                <w:sz w:val="22"/>
                <w:szCs w:val="22"/>
                <w:lang w:val="el-GR"/>
              </w:rPr>
              <w:t xml:space="preserve">«Χρηματοοικονομική Διοίκηση και Τραπεζική Οικονομική : Αποτίμηση Κινδύνου και Επενδύσεων», Β Τόμος, Εκδόσεις </w:t>
            </w:r>
            <w:proofErr w:type="spellStart"/>
            <w:r w:rsidRPr="00B26C58">
              <w:rPr>
                <w:rFonts w:asciiTheme="minorHAnsi" w:hAnsiTheme="minorHAnsi" w:cstheme="minorHAnsi"/>
                <w:sz w:val="22"/>
                <w:szCs w:val="22"/>
                <w:lang w:val="el-GR"/>
              </w:rPr>
              <w:t>Πετράκης</w:t>
            </w:r>
            <w:proofErr w:type="spellEnd"/>
            <w:r w:rsidRPr="00B26C58">
              <w:rPr>
                <w:rFonts w:asciiTheme="minorHAnsi" w:hAnsiTheme="minorHAnsi" w:cstheme="minorHAnsi"/>
                <w:sz w:val="22"/>
                <w:szCs w:val="22"/>
                <w:lang w:val="el-GR"/>
              </w:rPr>
              <w:t>, Αθήνα</w:t>
            </w:r>
          </w:p>
          <w:p w:rsidR="002C3115" w:rsidRPr="002C3115" w:rsidRDefault="002C3115" w:rsidP="002C3115">
            <w:pPr>
              <w:ind w:left="432"/>
              <w:rPr>
                <w:rFonts w:ascii="Book Antiqua" w:hAnsi="Book Antiqua"/>
                <w:b/>
                <w:lang w:val="el-GR"/>
              </w:rPr>
            </w:pPr>
          </w:p>
          <w:p w:rsidR="000F4FD4" w:rsidRPr="00A90D79" w:rsidRDefault="00A8723B" w:rsidP="007673F3">
            <w:pPr>
              <w:jc w:val="both"/>
              <w:rPr>
                <w:rFonts w:ascii="Calibri" w:hAnsi="Calibri" w:cs="Arial"/>
                <w:i/>
                <w:sz w:val="16"/>
                <w:szCs w:val="16"/>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bookmarkStart w:id="1" w:name="_GoBack"/>
            <w:bookmarkEnd w:id="1"/>
          </w:p>
        </w:tc>
      </w:tr>
      <w:bookmarkEnd w:id="0"/>
    </w:tbl>
    <w:p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FA" w:rsidRDefault="00A165FA">
      <w:r>
        <w:separator/>
      </w:r>
    </w:p>
  </w:endnote>
  <w:endnote w:type="continuationSeparator" w:id="0">
    <w:p w:rsidR="00A165FA" w:rsidRDefault="00A16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FA" w:rsidRDefault="00A165FA">
      <w:r>
        <w:separator/>
      </w:r>
    </w:p>
  </w:footnote>
  <w:footnote w:type="continuationSeparator" w:id="0">
    <w:p w:rsidR="00A165FA" w:rsidRDefault="00A16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0867C7">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numPicBullet w:numPicBulletId="1">
    <w:pict>
      <v:shape id="_x0000_i1029" type="#_x0000_t75" style="width:9pt;height:9pt" o:bullet="t">
        <v:imagedata r:id="rId2" o:title="BD14868_"/>
      </v:shape>
    </w:pict>
  </w:numPicBullet>
  <w:abstractNum w:abstractNumId="0">
    <w:nsid w:val="162D7BEC"/>
    <w:multiLevelType w:val="hybridMultilevel"/>
    <w:tmpl w:val="B30EB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6843A9"/>
    <w:multiLevelType w:val="hybridMultilevel"/>
    <w:tmpl w:val="F7840362"/>
    <w:lvl w:ilvl="0" w:tplc="E3F609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861487"/>
    <w:multiLevelType w:val="hybridMultilevel"/>
    <w:tmpl w:val="5DC4BB5E"/>
    <w:lvl w:ilvl="0" w:tplc="B28AFF5E">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432517"/>
    <w:multiLevelType w:val="hybridMultilevel"/>
    <w:tmpl w:val="4F8E667C"/>
    <w:lvl w:ilvl="0" w:tplc="0408000F">
      <w:start w:val="1"/>
      <w:numFmt w:val="decimal"/>
      <w:lvlText w:val="%1."/>
      <w:lvlJc w:val="left"/>
      <w:pPr>
        <w:ind w:left="720" w:hanging="360"/>
      </w:pPr>
      <w:rPr>
        <w:rFonts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6E2261"/>
    <w:multiLevelType w:val="hybridMultilevel"/>
    <w:tmpl w:val="2E722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8E6253"/>
    <w:multiLevelType w:val="hybridMultilevel"/>
    <w:tmpl w:val="BFA0E7AE"/>
    <w:lvl w:ilvl="0" w:tplc="0408000F">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A01C3F"/>
    <w:multiLevelType w:val="hybridMultilevel"/>
    <w:tmpl w:val="944E00E0"/>
    <w:lvl w:ilvl="0" w:tplc="F1A616A0">
      <w:start w:val="1"/>
      <w:numFmt w:val="bullet"/>
      <w:lvlText w:val=""/>
      <w:lvlJc w:val="left"/>
      <w:pPr>
        <w:tabs>
          <w:tab w:val="num" w:pos="1474"/>
        </w:tabs>
        <w:ind w:left="1474" w:hanging="394"/>
      </w:pPr>
      <w:rPr>
        <w:rFonts w:ascii="Symbol" w:hAnsi="Symbol" w:hint="default"/>
        <w:color w:val="auto"/>
        <w:sz w:val="22"/>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57C047A"/>
    <w:multiLevelType w:val="hybridMultilevel"/>
    <w:tmpl w:val="78E2F8E6"/>
    <w:lvl w:ilvl="0" w:tplc="3ABEFB42">
      <w:start w:val="1"/>
      <w:numFmt w:val="bullet"/>
      <w:lvlText w:val=""/>
      <w:lvlJc w:val="left"/>
      <w:pPr>
        <w:tabs>
          <w:tab w:val="num" w:pos="1474"/>
        </w:tabs>
        <w:ind w:left="1474" w:hanging="394"/>
      </w:pPr>
      <w:rPr>
        <w:rFonts w:ascii="Symbol" w:hAnsi="Symbol" w:hint="default"/>
        <w:color w:val="auto"/>
        <w:sz w:val="22"/>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A23033E"/>
    <w:multiLevelType w:val="hybridMultilevel"/>
    <w:tmpl w:val="3B2EBB5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786252"/>
    <w:multiLevelType w:val="hybridMultilevel"/>
    <w:tmpl w:val="54EA15E4"/>
    <w:lvl w:ilvl="0" w:tplc="03ECE85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 w:numId="9">
    <w:abstractNumId w:val="9"/>
  </w:num>
  <w:num w:numId="10">
    <w:abstractNumId w:val="2"/>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2483"/>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6AB3"/>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7F88"/>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67C7"/>
    <w:rsid w:val="00090252"/>
    <w:rsid w:val="00090277"/>
    <w:rsid w:val="00091F9F"/>
    <w:rsid w:val="000957CA"/>
    <w:rsid w:val="00095971"/>
    <w:rsid w:val="000964E8"/>
    <w:rsid w:val="000A3476"/>
    <w:rsid w:val="000A4DDE"/>
    <w:rsid w:val="000A55BA"/>
    <w:rsid w:val="000A566B"/>
    <w:rsid w:val="000B07DB"/>
    <w:rsid w:val="000B0B08"/>
    <w:rsid w:val="000B5E79"/>
    <w:rsid w:val="000B7F47"/>
    <w:rsid w:val="000C3A17"/>
    <w:rsid w:val="000C4334"/>
    <w:rsid w:val="000C4E47"/>
    <w:rsid w:val="000D01C0"/>
    <w:rsid w:val="000D135A"/>
    <w:rsid w:val="000D1CF6"/>
    <w:rsid w:val="000D3ACC"/>
    <w:rsid w:val="000D4B88"/>
    <w:rsid w:val="000D5EC2"/>
    <w:rsid w:val="000D6BAA"/>
    <w:rsid w:val="000E0695"/>
    <w:rsid w:val="000E06F0"/>
    <w:rsid w:val="000E0F94"/>
    <w:rsid w:val="000E1343"/>
    <w:rsid w:val="000E1AA6"/>
    <w:rsid w:val="000E3FF4"/>
    <w:rsid w:val="000E42EA"/>
    <w:rsid w:val="000E6299"/>
    <w:rsid w:val="000E6CD4"/>
    <w:rsid w:val="000F4FD4"/>
    <w:rsid w:val="000F573F"/>
    <w:rsid w:val="001000AC"/>
    <w:rsid w:val="00101E11"/>
    <w:rsid w:val="001026B2"/>
    <w:rsid w:val="00102A4A"/>
    <w:rsid w:val="00102FF4"/>
    <w:rsid w:val="001049B1"/>
    <w:rsid w:val="00104D8C"/>
    <w:rsid w:val="00105309"/>
    <w:rsid w:val="00110E4A"/>
    <w:rsid w:val="00111A75"/>
    <w:rsid w:val="00113403"/>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4FB"/>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4FF4"/>
    <w:rsid w:val="00186314"/>
    <w:rsid w:val="001873A1"/>
    <w:rsid w:val="00190FD1"/>
    <w:rsid w:val="00192649"/>
    <w:rsid w:val="001947EA"/>
    <w:rsid w:val="00194BAB"/>
    <w:rsid w:val="00195300"/>
    <w:rsid w:val="00195420"/>
    <w:rsid w:val="001A07CC"/>
    <w:rsid w:val="001A08BF"/>
    <w:rsid w:val="001A0C5A"/>
    <w:rsid w:val="001A0D07"/>
    <w:rsid w:val="001A1326"/>
    <w:rsid w:val="001A19C2"/>
    <w:rsid w:val="001A1C52"/>
    <w:rsid w:val="001A232D"/>
    <w:rsid w:val="001A33E9"/>
    <w:rsid w:val="001A4885"/>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61D"/>
    <w:rsid w:val="001E66F6"/>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0FC0"/>
    <w:rsid w:val="00261622"/>
    <w:rsid w:val="00265F0D"/>
    <w:rsid w:val="00267CD6"/>
    <w:rsid w:val="002706A7"/>
    <w:rsid w:val="00271BEE"/>
    <w:rsid w:val="00271F7D"/>
    <w:rsid w:val="00272884"/>
    <w:rsid w:val="0027626F"/>
    <w:rsid w:val="00277781"/>
    <w:rsid w:val="00280486"/>
    <w:rsid w:val="00280BFE"/>
    <w:rsid w:val="0028166F"/>
    <w:rsid w:val="00282FAB"/>
    <w:rsid w:val="002857F2"/>
    <w:rsid w:val="00285D8B"/>
    <w:rsid w:val="00286A85"/>
    <w:rsid w:val="002874EB"/>
    <w:rsid w:val="0029057A"/>
    <w:rsid w:val="00296F0C"/>
    <w:rsid w:val="002A03B0"/>
    <w:rsid w:val="002A211F"/>
    <w:rsid w:val="002A44CF"/>
    <w:rsid w:val="002A5B2A"/>
    <w:rsid w:val="002A5DB2"/>
    <w:rsid w:val="002A66C2"/>
    <w:rsid w:val="002B050C"/>
    <w:rsid w:val="002B132D"/>
    <w:rsid w:val="002B2516"/>
    <w:rsid w:val="002B2A53"/>
    <w:rsid w:val="002B53E5"/>
    <w:rsid w:val="002C02CE"/>
    <w:rsid w:val="002C3115"/>
    <w:rsid w:val="002C3352"/>
    <w:rsid w:val="002C37F1"/>
    <w:rsid w:val="002C4096"/>
    <w:rsid w:val="002C4537"/>
    <w:rsid w:val="002C644D"/>
    <w:rsid w:val="002C7D88"/>
    <w:rsid w:val="002D3A20"/>
    <w:rsid w:val="002D5542"/>
    <w:rsid w:val="002D5547"/>
    <w:rsid w:val="002D5EEC"/>
    <w:rsid w:val="002E0890"/>
    <w:rsid w:val="002E3950"/>
    <w:rsid w:val="002E47FF"/>
    <w:rsid w:val="002E5AEC"/>
    <w:rsid w:val="002E77A5"/>
    <w:rsid w:val="002F11AF"/>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E6"/>
    <w:rsid w:val="00305870"/>
    <w:rsid w:val="00305D37"/>
    <w:rsid w:val="00307B48"/>
    <w:rsid w:val="00310E41"/>
    <w:rsid w:val="003116F7"/>
    <w:rsid w:val="00311DF4"/>
    <w:rsid w:val="00312560"/>
    <w:rsid w:val="003174C4"/>
    <w:rsid w:val="00321439"/>
    <w:rsid w:val="0032156B"/>
    <w:rsid w:val="00321D2B"/>
    <w:rsid w:val="00322325"/>
    <w:rsid w:val="003223CB"/>
    <w:rsid w:val="00322A02"/>
    <w:rsid w:val="00323341"/>
    <w:rsid w:val="0032356A"/>
    <w:rsid w:val="003247F4"/>
    <w:rsid w:val="003253D6"/>
    <w:rsid w:val="00330129"/>
    <w:rsid w:val="00330DCF"/>
    <w:rsid w:val="00331DE2"/>
    <w:rsid w:val="00332E2C"/>
    <w:rsid w:val="0033318B"/>
    <w:rsid w:val="00334196"/>
    <w:rsid w:val="00334F6C"/>
    <w:rsid w:val="003379E6"/>
    <w:rsid w:val="003403BB"/>
    <w:rsid w:val="0034072B"/>
    <w:rsid w:val="00341341"/>
    <w:rsid w:val="003439C9"/>
    <w:rsid w:val="003445BF"/>
    <w:rsid w:val="0034624F"/>
    <w:rsid w:val="003502E3"/>
    <w:rsid w:val="00350F13"/>
    <w:rsid w:val="00352D0C"/>
    <w:rsid w:val="00353C50"/>
    <w:rsid w:val="00354399"/>
    <w:rsid w:val="00355C87"/>
    <w:rsid w:val="003561DF"/>
    <w:rsid w:val="0035685C"/>
    <w:rsid w:val="00361F67"/>
    <w:rsid w:val="0036291A"/>
    <w:rsid w:val="00362ECB"/>
    <w:rsid w:val="00364286"/>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629"/>
    <w:rsid w:val="003A5C6B"/>
    <w:rsid w:val="003B08CF"/>
    <w:rsid w:val="003B2099"/>
    <w:rsid w:val="003B23D7"/>
    <w:rsid w:val="003B319D"/>
    <w:rsid w:val="003B6912"/>
    <w:rsid w:val="003C0249"/>
    <w:rsid w:val="003C1A8B"/>
    <w:rsid w:val="003C47ED"/>
    <w:rsid w:val="003D049B"/>
    <w:rsid w:val="003D069B"/>
    <w:rsid w:val="003D354E"/>
    <w:rsid w:val="003D4480"/>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5817"/>
    <w:rsid w:val="00427915"/>
    <w:rsid w:val="00432460"/>
    <w:rsid w:val="00433C56"/>
    <w:rsid w:val="00434C31"/>
    <w:rsid w:val="004352B8"/>
    <w:rsid w:val="004354B5"/>
    <w:rsid w:val="00435F58"/>
    <w:rsid w:val="00436925"/>
    <w:rsid w:val="00437061"/>
    <w:rsid w:val="00440B26"/>
    <w:rsid w:val="004418D0"/>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5C78"/>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A24"/>
    <w:rsid w:val="00576F02"/>
    <w:rsid w:val="005773B3"/>
    <w:rsid w:val="00580EB3"/>
    <w:rsid w:val="005820F8"/>
    <w:rsid w:val="005829DE"/>
    <w:rsid w:val="005841A6"/>
    <w:rsid w:val="0059066F"/>
    <w:rsid w:val="005945E6"/>
    <w:rsid w:val="005A0765"/>
    <w:rsid w:val="005A0B14"/>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C8D"/>
    <w:rsid w:val="00642F3C"/>
    <w:rsid w:val="00645930"/>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FA8"/>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43F6"/>
    <w:rsid w:val="006C1F50"/>
    <w:rsid w:val="006C2E14"/>
    <w:rsid w:val="006C4390"/>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77F"/>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15AF"/>
    <w:rsid w:val="0084334E"/>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58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4FB"/>
    <w:rsid w:val="008C3A0B"/>
    <w:rsid w:val="008C49DC"/>
    <w:rsid w:val="008C5460"/>
    <w:rsid w:val="008C72C9"/>
    <w:rsid w:val="008D1D30"/>
    <w:rsid w:val="008D57ED"/>
    <w:rsid w:val="008D5D8C"/>
    <w:rsid w:val="008D5EA8"/>
    <w:rsid w:val="008D61D0"/>
    <w:rsid w:val="008D68D4"/>
    <w:rsid w:val="008D6D4C"/>
    <w:rsid w:val="008D73C2"/>
    <w:rsid w:val="008D73E5"/>
    <w:rsid w:val="008E17FD"/>
    <w:rsid w:val="008E253C"/>
    <w:rsid w:val="008E498B"/>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1AB"/>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5FA"/>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7F56"/>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0D79"/>
    <w:rsid w:val="00A93E5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7A8B"/>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24F9"/>
    <w:rsid w:val="00B23D40"/>
    <w:rsid w:val="00B245EF"/>
    <w:rsid w:val="00B26C58"/>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67C"/>
    <w:rsid w:val="00B8026C"/>
    <w:rsid w:val="00B822A3"/>
    <w:rsid w:val="00B84A52"/>
    <w:rsid w:val="00B84B3A"/>
    <w:rsid w:val="00B85EFA"/>
    <w:rsid w:val="00B87837"/>
    <w:rsid w:val="00B87ADD"/>
    <w:rsid w:val="00B9317C"/>
    <w:rsid w:val="00B940BC"/>
    <w:rsid w:val="00B955D4"/>
    <w:rsid w:val="00B959D0"/>
    <w:rsid w:val="00B966A3"/>
    <w:rsid w:val="00B96C21"/>
    <w:rsid w:val="00B97A75"/>
    <w:rsid w:val="00BA1906"/>
    <w:rsid w:val="00BA354A"/>
    <w:rsid w:val="00BA3B50"/>
    <w:rsid w:val="00BA5A80"/>
    <w:rsid w:val="00BA6E48"/>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5B9"/>
    <w:rsid w:val="00BF0CB0"/>
    <w:rsid w:val="00BF16C6"/>
    <w:rsid w:val="00BF2C08"/>
    <w:rsid w:val="00BF2C6F"/>
    <w:rsid w:val="00BF3C69"/>
    <w:rsid w:val="00BF493F"/>
    <w:rsid w:val="00BF5351"/>
    <w:rsid w:val="00BF5542"/>
    <w:rsid w:val="00BF73CD"/>
    <w:rsid w:val="00BF7718"/>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E56"/>
    <w:rsid w:val="00C90E6B"/>
    <w:rsid w:val="00C91220"/>
    <w:rsid w:val="00C9175B"/>
    <w:rsid w:val="00C91B02"/>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13F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67D7"/>
    <w:rsid w:val="00E4129E"/>
    <w:rsid w:val="00E438D6"/>
    <w:rsid w:val="00E44A6E"/>
    <w:rsid w:val="00E457C2"/>
    <w:rsid w:val="00E47043"/>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A9B"/>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3E"/>
    <w:rsid w:val="00EE7C55"/>
    <w:rsid w:val="00EF135B"/>
    <w:rsid w:val="00EF6797"/>
    <w:rsid w:val="00EF70C4"/>
    <w:rsid w:val="00EF7B91"/>
    <w:rsid w:val="00F002D4"/>
    <w:rsid w:val="00F01110"/>
    <w:rsid w:val="00F01EF1"/>
    <w:rsid w:val="00F020C3"/>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67EB"/>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smaller">
    <w:name w:val="smaller"/>
    <w:basedOn w:val="a0"/>
    <w:rsid w:val="00425817"/>
  </w:style>
</w:styles>
</file>

<file path=word/webSettings.xml><?xml version="1.0" encoding="utf-8"?>
<w:webSettings xmlns:r="http://schemas.openxmlformats.org/officeDocument/2006/relationships" xmlns:w="http://schemas.openxmlformats.org/wordprocessingml/2006/main">
  <w:divs>
    <w:div w:id="2190547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w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272EF-D044-4B3B-A9A1-59D01DCE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1078</Words>
  <Characters>5826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13</cp:revision>
  <cp:lastPrinted>2014-04-24T14:33:00Z</cp:lastPrinted>
  <dcterms:created xsi:type="dcterms:W3CDTF">2019-07-16T18:41:00Z</dcterms:created>
  <dcterms:modified xsi:type="dcterms:W3CDTF">2019-07-18T07:24:00Z</dcterms:modified>
</cp:coreProperties>
</file>