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58D" w:rsidRPr="008307AD" w:rsidRDefault="00B1358D" w:rsidP="00B1358D">
      <w:pPr>
        <w:spacing w:after="0" w:line="240" w:lineRule="auto"/>
        <w:jc w:val="center"/>
        <w:rPr>
          <w:b/>
          <w:sz w:val="20"/>
          <w:szCs w:val="20"/>
        </w:rPr>
      </w:pPr>
      <w:bookmarkStart w:id="0" w:name="_GoBack"/>
      <w:bookmarkEnd w:id="0"/>
      <w:r w:rsidRPr="008307AD">
        <w:rPr>
          <w:b/>
          <w:sz w:val="20"/>
          <w:szCs w:val="20"/>
        </w:rPr>
        <w:t xml:space="preserve">ΤΜΗΜΑ </w:t>
      </w:r>
      <w:r>
        <w:rPr>
          <w:b/>
          <w:sz w:val="20"/>
          <w:szCs w:val="20"/>
        </w:rPr>
        <w:t>ΧΗΜΙΚΩΝ ΜΗΧΑΝΚΩΝ</w:t>
      </w:r>
      <w:r w:rsidRPr="008307AD">
        <w:rPr>
          <w:b/>
          <w:sz w:val="20"/>
          <w:szCs w:val="20"/>
        </w:rPr>
        <w:t xml:space="preserve"> – ΠΑΝΕΠΙΣΤΗΜΙΟ ΔΥΤΙΚΗΣ ΜΑΚΕΔΟΝΙΑΣ</w:t>
      </w:r>
    </w:p>
    <w:p w:rsidR="00B1358D" w:rsidRPr="008307AD" w:rsidRDefault="00B1358D" w:rsidP="00B1358D">
      <w:pPr>
        <w:spacing w:after="0" w:line="240" w:lineRule="auto"/>
        <w:rPr>
          <w:b/>
          <w:sz w:val="10"/>
          <w:szCs w:val="10"/>
        </w:rPr>
      </w:pPr>
    </w:p>
    <w:tbl>
      <w:tblPr>
        <w:tblStyle w:val="a3"/>
        <w:tblW w:w="0" w:type="auto"/>
        <w:tblLook w:val="04A0" w:firstRow="1" w:lastRow="0" w:firstColumn="1" w:lastColumn="0" w:noHBand="0" w:noVBand="1"/>
      </w:tblPr>
      <w:tblGrid>
        <w:gridCol w:w="1980"/>
        <w:gridCol w:w="4536"/>
        <w:gridCol w:w="3112"/>
      </w:tblGrid>
      <w:tr w:rsidR="00B1358D" w:rsidRPr="00D207BE" w:rsidTr="00F33ACE">
        <w:tc>
          <w:tcPr>
            <w:tcW w:w="1980" w:type="dxa"/>
          </w:tcPr>
          <w:p w:rsidR="00B1358D" w:rsidRPr="00D207BE" w:rsidRDefault="00B1358D" w:rsidP="00F33ACE">
            <w:pPr>
              <w:jc w:val="right"/>
              <w:rPr>
                <w:b/>
                <w:sz w:val="20"/>
                <w:szCs w:val="20"/>
              </w:rPr>
            </w:pPr>
            <w:r w:rsidRPr="00D207BE">
              <w:rPr>
                <w:b/>
                <w:sz w:val="20"/>
                <w:szCs w:val="20"/>
              </w:rPr>
              <w:t>Ονοματεπώνυμο:</w:t>
            </w:r>
          </w:p>
        </w:tc>
        <w:tc>
          <w:tcPr>
            <w:tcW w:w="4536" w:type="dxa"/>
          </w:tcPr>
          <w:p w:rsidR="00B1358D" w:rsidRPr="00D207BE" w:rsidRDefault="00B1358D" w:rsidP="00F33ACE">
            <w:pPr>
              <w:jc w:val="center"/>
              <w:rPr>
                <w:sz w:val="20"/>
                <w:szCs w:val="20"/>
              </w:rPr>
            </w:pPr>
            <w:r>
              <w:rPr>
                <w:sz w:val="20"/>
                <w:szCs w:val="20"/>
              </w:rPr>
              <w:t>Ζαχαρίας Φροντιστής</w:t>
            </w:r>
          </w:p>
        </w:tc>
        <w:tc>
          <w:tcPr>
            <w:tcW w:w="3112" w:type="dxa"/>
          </w:tcPr>
          <w:p w:rsidR="00B1358D" w:rsidRPr="00D207BE" w:rsidRDefault="00B1358D" w:rsidP="00F33ACE">
            <w:pPr>
              <w:jc w:val="center"/>
              <w:rPr>
                <w:b/>
                <w:sz w:val="20"/>
                <w:szCs w:val="20"/>
              </w:rPr>
            </w:pPr>
            <w:r>
              <w:rPr>
                <w:b/>
                <w:noProof/>
                <w:sz w:val="20"/>
                <w:szCs w:val="20"/>
                <w:lang w:eastAsia="el-GR"/>
              </w:rPr>
              <w:drawing>
                <wp:inline distT="0" distB="0" distL="0" distR="0">
                  <wp:extent cx="858520" cy="1132840"/>
                  <wp:effectExtent l="0" t="0" r="0" b="0"/>
                  <wp:docPr id="1" name="Εικόνα 1" descr="FRONTISTIS_PHOTO_FRON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NTISTIS_PHOTO_FRONT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8520" cy="1132840"/>
                          </a:xfrm>
                          <a:prstGeom prst="rect">
                            <a:avLst/>
                          </a:prstGeom>
                          <a:noFill/>
                          <a:ln>
                            <a:noFill/>
                          </a:ln>
                        </pic:spPr>
                      </pic:pic>
                    </a:graphicData>
                  </a:graphic>
                </wp:inline>
              </w:drawing>
            </w:r>
          </w:p>
        </w:tc>
      </w:tr>
      <w:tr w:rsidR="00B1358D" w:rsidRPr="00D207BE" w:rsidTr="00F33ACE">
        <w:tc>
          <w:tcPr>
            <w:tcW w:w="1980" w:type="dxa"/>
          </w:tcPr>
          <w:p w:rsidR="00B1358D" w:rsidRPr="00D207BE" w:rsidRDefault="00B1358D" w:rsidP="00F33ACE">
            <w:pPr>
              <w:jc w:val="right"/>
              <w:rPr>
                <w:b/>
                <w:sz w:val="20"/>
                <w:szCs w:val="20"/>
              </w:rPr>
            </w:pPr>
            <w:r w:rsidRPr="00D207BE">
              <w:rPr>
                <w:b/>
                <w:sz w:val="20"/>
                <w:szCs w:val="20"/>
              </w:rPr>
              <w:t>Ειδικότητα/Θέση:</w:t>
            </w:r>
          </w:p>
        </w:tc>
        <w:tc>
          <w:tcPr>
            <w:tcW w:w="7648" w:type="dxa"/>
            <w:gridSpan w:val="2"/>
          </w:tcPr>
          <w:p w:rsidR="00B1358D" w:rsidRPr="00FF7C9B" w:rsidRDefault="00B1358D" w:rsidP="00F33ACE">
            <w:pPr>
              <w:rPr>
                <w:sz w:val="20"/>
                <w:szCs w:val="20"/>
              </w:rPr>
            </w:pPr>
            <w:r w:rsidRPr="00FF7C9B">
              <w:rPr>
                <w:sz w:val="20"/>
                <w:szCs w:val="20"/>
              </w:rPr>
              <w:t>Μηχανικός Περιβάλλοντος</w:t>
            </w:r>
            <w:r>
              <w:rPr>
                <w:sz w:val="20"/>
                <w:szCs w:val="20"/>
              </w:rPr>
              <w:t>,</w:t>
            </w:r>
            <w:r w:rsidRPr="00FF7C9B">
              <w:rPr>
                <w:sz w:val="20"/>
                <w:szCs w:val="20"/>
              </w:rPr>
              <w:t xml:space="preserve"> (Αναπληρωτής Καθηγητής, Τμήμα </w:t>
            </w:r>
            <w:r>
              <w:rPr>
                <w:sz w:val="20"/>
                <w:szCs w:val="20"/>
              </w:rPr>
              <w:t>Χημικών Μηχανικών</w:t>
            </w:r>
            <w:r w:rsidRPr="00FF7C9B">
              <w:rPr>
                <w:sz w:val="20"/>
                <w:szCs w:val="20"/>
              </w:rPr>
              <w:t xml:space="preserve"> ΠΔΜ)</w:t>
            </w:r>
          </w:p>
        </w:tc>
      </w:tr>
      <w:tr w:rsidR="00B1358D" w:rsidRPr="00FF5361" w:rsidTr="00F33ACE">
        <w:tc>
          <w:tcPr>
            <w:tcW w:w="1980" w:type="dxa"/>
          </w:tcPr>
          <w:p w:rsidR="00B1358D" w:rsidRPr="00D207BE" w:rsidRDefault="00B1358D" w:rsidP="00F33ACE">
            <w:pPr>
              <w:jc w:val="right"/>
              <w:rPr>
                <w:b/>
                <w:sz w:val="20"/>
                <w:szCs w:val="20"/>
              </w:rPr>
            </w:pPr>
            <w:r w:rsidRPr="00D207BE">
              <w:rPr>
                <w:b/>
                <w:sz w:val="20"/>
                <w:szCs w:val="20"/>
              </w:rPr>
              <w:t>Σύντομο Βιογραφικό:</w:t>
            </w:r>
          </w:p>
        </w:tc>
        <w:tc>
          <w:tcPr>
            <w:tcW w:w="7648" w:type="dxa"/>
            <w:gridSpan w:val="2"/>
          </w:tcPr>
          <w:p w:rsidR="00B1358D" w:rsidRPr="00FF7C9B" w:rsidRDefault="00B1358D" w:rsidP="00F33ACE">
            <w:pPr>
              <w:jc w:val="both"/>
              <w:rPr>
                <w:sz w:val="20"/>
                <w:szCs w:val="20"/>
              </w:rPr>
            </w:pPr>
            <w:r w:rsidRPr="00FF7C9B">
              <w:rPr>
                <w:sz w:val="20"/>
                <w:szCs w:val="20"/>
              </w:rPr>
              <w:t xml:space="preserve">Ο Ζαχαρίας Φροντιστής είναι </w:t>
            </w:r>
            <w:r>
              <w:rPr>
                <w:sz w:val="20"/>
                <w:szCs w:val="20"/>
              </w:rPr>
              <w:t xml:space="preserve">μέλος ΔΕΠ του τμήματος Χημικών Μηχανικών της </w:t>
            </w:r>
            <w:r w:rsidRPr="00FF7C9B">
              <w:rPr>
                <w:sz w:val="20"/>
                <w:szCs w:val="20"/>
              </w:rPr>
              <w:t xml:space="preserve">Πολυτεχνικής Σχολής του Πανεπιστημίου Δυτικής Μακεδονίας (ΠΔΜ) </w:t>
            </w:r>
            <w:r>
              <w:rPr>
                <w:sz w:val="20"/>
                <w:szCs w:val="20"/>
              </w:rPr>
              <w:t>(</w:t>
            </w:r>
            <w:r w:rsidRPr="00FF7C9B">
              <w:rPr>
                <w:sz w:val="20"/>
                <w:szCs w:val="20"/>
              </w:rPr>
              <w:t>Αναπληρωτής Καθηγητής</w:t>
            </w:r>
            <w:r>
              <w:rPr>
                <w:sz w:val="20"/>
                <w:szCs w:val="20"/>
              </w:rPr>
              <w:t>)</w:t>
            </w:r>
            <w:r w:rsidRPr="00FF7C9B">
              <w:rPr>
                <w:sz w:val="20"/>
                <w:szCs w:val="20"/>
              </w:rPr>
              <w:t xml:space="preserve"> με γνωστικό αντικείμενο: </w:t>
            </w:r>
            <w:r>
              <w:rPr>
                <w:sz w:val="20"/>
                <w:szCs w:val="20"/>
              </w:rPr>
              <w:t>«</w:t>
            </w:r>
            <w:r w:rsidRPr="00FF7C9B">
              <w:rPr>
                <w:sz w:val="20"/>
                <w:szCs w:val="20"/>
              </w:rPr>
              <w:t>Μηχανική Διεργασιών υγρών αποβλήτων και πόσιμου νερού</w:t>
            </w:r>
            <w:r>
              <w:rPr>
                <w:sz w:val="20"/>
                <w:szCs w:val="20"/>
              </w:rPr>
              <w:t>»</w:t>
            </w:r>
            <w:r w:rsidRPr="00FF7C9B">
              <w:rPr>
                <w:sz w:val="20"/>
                <w:szCs w:val="20"/>
              </w:rPr>
              <w:t xml:space="preserve">. Το 2005 απέκτησε δίπλωμα Μηχανικού Περιβάλλοντος από το Πολυτεχνείο Κρήτης, το 2007 Μεταπτυχιακό Δίπλωμα Ειδίκευσης στον "έλεγχο ποιότητας και διαχείρισης περιβάλλοντος" και το 2011 Διδακτορικό Δίπλωμα στην περιβαλλοντική μηχανική από το Πολυτεχνείο Κρήτης. </w:t>
            </w:r>
          </w:p>
          <w:p w:rsidR="00B1358D" w:rsidRPr="00FF7C9B" w:rsidRDefault="00B1358D" w:rsidP="00F33ACE">
            <w:pPr>
              <w:jc w:val="both"/>
              <w:rPr>
                <w:sz w:val="20"/>
                <w:szCs w:val="20"/>
              </w:rPr>
            </w:pPr>
            <w:r w:rsidRPr="00FF7C9B">
              <w:rPr>
                <w:sz w:val="20"/>
                <w:szCs w:val="20"/>
              </w:rPr>
              <w:t xml:space="preserve">Τα ερευνητικά του ενδιαφέρονται εστιάζονται </w:t>
            </w:r>
            <w:r>
              <w:rPr>
                <w:sz w:val="20"/>
                <w:szCs w:val="20"/>
              </w:rPr>
              <w:t xml:space="preserve">(α) </w:t>
            </w:r>
            <w:r w:rsidRPr="00FF7C9B">
              <w:rPr>
                <w:sz w:val="20"/>
                <w:szCs w:val="20"/>
              </w:rPr>
              <w:t>στην χρήση φυσικο – χημικών διεργασιών για την επεξεργασία νερού και υγρών αποβλήτων (Προχωρημένες διεργασίες οξείδωσης) όπως η φωτοκατάλυση, η ηλεκτροχημική οξείδωση, η χημεία, των υπερήχων, ο οζονισμός, η υγρή οξείδωση και οι αντιδράσεις τύπου Fenton με ιδιαίτερη έμφαση στην διάσπαση ξενοβιοτικών ενώσεων και στην απολύμανση,</w:t>
            </w:r>
            <w:r>
              <w:rPr>
                <w:sz w:val="20"/>
                <w:szCs w:val="20"/>
              </w:rPr>
              <w:t xml:space="preserve"> (β)</w:t>
            </w:r>
            <w:r w:rsidRPr="00FF7C9B">
              <w:rPr>
                <w:sz w:val="20"/>
                <w:szCs w:val="20"/>
              </w:rPr>
              <w:t xml:space="preserve"> στον συνδυασμό φυσικοχημικών και βιολογικών μεθόδων για την επεξεργασία αγροτοβιομηχανικών αποβλήτων καθώς και </w:t>
            </w:r>
            <w:r>
              <w:rPr>
                <w:sz w:val="20"/>
                <w:szCs w:val="20"/>
              </w:rPr>
              <w:t xml:space="preserve">(γ) </w:t>
            </w:r>
            <w:r w:rsidRPr="00FF7C9B">
              <w:rPr>
                <w:sz w:val="20"/>
                <w:szCs w:val="20"/>
              </w:rPr>
              <w:t xml:space="preserve">στην προσομοίωση αυτών των διεργασιών. </w:t>
            </w:r>
          </w:p>
          <w:p w:rsidR="00B1358D" w:rsidRPr="00B27F36" w:rsidRDefault="00B1358D" w:rsidP="00F33ACE">
            <w:pPr>
              <w:jc w:val="both"/>
              <w:rPr>
                <w:sz w:val="20"/>
                <w:szCs w:val="20"/>
              </w:rPr>
            </w:pPr>
            <w:r w:rsidRPr="00FF7C9B">
              <w:rPr>
                <w:sz w:val="20"/>
                <w:szCs w:val="20"/>
              </w:rPr>
              <w:t xml:space="preserve">Το επιστημονικό του έργο έχει δημοσιευθεί σε περισσότερα από  </w:t>
            </w:r>
            <w:r>
              <w:rPr>
                <w:sz w:val="20"/>
                <w:szCs w:val="20"/>
              </w:rPr>
              <w:t>75</w:t>
            </w:r>
            <w:r w:rsidRPr="00FF7C9B">
              <w:rPr>
                <w:sz w:val="20"/>
                <w:szCs w:val="20"/>
              </w:rPr>
              <w:t xml:space="preserve">  άρθρα σε διεθνή περιοδικά με κριτές</w:t>
            </w:r>
            <w:r>
              <w:rPr>
                <w:sz w:val="20"/>
                <w:szCs w:val="20"/>
              </w:rPr>
              <w:t xml:space="preserve"> (</w:t>
            </w:r>
            <w:r>
              <w:rPr>
                <w:sz w:val="20"/>
                <w:szCs w:val="20"/>
                <w:lang w:val="en-US"/>
              </w:rPr>
              <w:t>Scopus</w:t>
            </w:r>
            <w:r w:rsidRPr="00B27F36">
              <w:rPr>
                <w:sz w:val="20"/>
                <w:szCs w:val="20"/>
              </w:rPr>
              <w:t xml:space="preserve">) </w:t>
            </w:r>
            <w:r w:rsidRPr="00FF7C9B">
              <w:rPr>
                <w:sz w:val="20"/>
                <w:szCs w:val="20"/>
              </w:rPr>
              <w:t xml:space="preserve"> καθώς και σε πλέον των 60 άρθρων σε πρακτικά διεθνών &amp; εθνικών</w:t>
            </w:r>
            <w:r>
              <w:rPr>
                <w:sz w:val="20"/>
                <w:szCs w:val="20"/>
              </w:rPr>
              <w:t xml:space="preserve"> επιστημονικών συνεδρίων (&gt;1450 αναφορές h-index = </w:t>
            </w:r>
            <w:r w:rsidRPr="004B4A8E">
              <w:rPr>
                <w:sz w:val="20"/>
                <w:szCs w:val="20"/>
              </w:rPr>
              <w:t>24</w:t>
            </w:r>
            <w:r>
              <w:rPr>
                <w:sz w:val="20"/>
                <w:szCs w:val="20"/>
              </w:rPr>
              <w:t xml:space="preserve">, </w:t>
            </w:r>
            <w:r>
              <w:rPr>
                <w:sz w:val="20"/>
                <w:szCs w:val="20"/>
                <w:lang w:val="en-US"/>
              </w:rPr>
              <w:t>Scopus</w:t>
            </w:r>
            <w:r w:rsidRPr="00FF7C9B">
              <w:rPr>
                <w:sz w:val="20"/>
                <w:szCs w:val="20"/>
              </w:rPr>
              <w:t>). Είναι</w:t>
            </w:r>
            <w:r w:rsidRPr="004B4A8E">
              <w:rPr>
                <w:sz w:val="20"/>
                <w:szCs w:val="20"/>
              </w:rPr>
              <w:t xml:space="preserve"> </w:t>
            </w:r>
            <w:r w:rsidRPr="00FF7C9B">
              <w:rPr>
                <w:sz w:val="20"/>
                <w:szCs w:val="20"/>
              </w:rPr>
              <w:t>μέλος</w:t>
            </w:r>
            <w:r w:rsidRPr="004B4A8E">
              <w:rPr>
                <w:sz w:val="20"/>
                <w:szCs w:val="20"/>
              </w:rPr>
              <w:t xml:space="preserve"> </w:t>
            </w:r>
            <w:r w:rsidRPr="00FF7C9B">
              <w:rPr>
                <w:sz w:val="20"/>
                <w:szCs w:val="20"/>
              </w:rPr>
              <w:t>του</w:t>
            </w:r>
            <w:r w:rsidRPr="004B4A8E">
              <w:rPr>
                <w:sz w:val="20"/>
                <w:szCs w:val="20"/>
              </w:rPr>
              <w:t xml:space="preserve"> </w:t>
            </w:r>
            <w:r w:rsidRPr="00FF7C9B">
              <w:rPr>
                <w:sz w:val="20"/>
                <w:szCs w:val="20"/>
                <w:lang w:val="en-US"/>
              </w:rPr>
              <w:t>editorial</w:t>
            </w:r>
            <w:r w:rsidRPr="004B4A8E">
              <w:rPr>
                <w:sz w:val="20"/>
                <w:szCs w:val="20"/>
              </w:rPr>
              <w:t xml:space="preserve"> </w:t>
            </w:r>
            <w:r w:rsidRPr="00FF7C9B">
              <w:rPr>
                <w:sz w:val="20"/>
                <w:szCs w:val="20"/>
                <w:lang w:val="en-US"/>
              </w:rPr>
              <w:t>board</w:t>
            </w:r>
            <w:r w:rsidRPr="004B4A8E">
              <w:rPr>
                <w:sz w:val="20"/>
                <w:szCs w:val="20"/>
              </w:rPr>
              <w:t xml:space="preserve"> </w:t>
            </w:r>
            <w:r w:rsidRPr="00FF7C9B">
              <w:rPr>
                <w:sz w:val="20"/>
                <w:szCs w:val="20"/>
              </w:rPr>
              <w:t>των</w:t>
            </w:r>
            <w:r w:rsidRPr="004B4A8E">
              <w:rPr>
                <w:sz w:val="20"/>
                <w:szCs w:val="20"/>
              </w:rPr>
              <w:t xml:space="preserve"> </w:t>
            </w:r>
            <w:r w:rsidRPr="00FF7C9B">
              <w:rPr>
                <w:sz w:val="20"/>
                <w:szCs w:val="20"/>
              </w:rPr>
              <w:t>περιοδικών</w:t>
            </w:r>
            <w:r w:rsidRPr="004B4A8E">
              <w:rPr>
                <w:sz w:val="20"/>
                <w:szCs w:val="20"/>
              </w:rPr>
              <w:t xml:space="preserve"> </w:t>
            </w:r>
            <w:r>
              <w:rPr>
                <w:sz w:val="20"/>
                <w:szCs w:val="20"/>
                <w:lang w:val="en-US"/>
              </w:rPr>
              <w:t>Water</w:t>
            </w:r>
            <w:r w:rsidRPr="004B4A8E">
              <w:rPr>
                <w:sz w:val="20"/>
                <w:szCs w:val="20"/>
              </w:rPr>
              <w:t xml:space="preserve">, </w:t>
            </w:r>
            <w:r w:rsidRPr="00FF7C9B">
              <w:rPr>
                <w:sz w:val="20"/>
                <w:szCs w:val="20"/>
                <w:lang w:val="en-US"/>
              </w:rPr>
              <w:t>Global</w:t>
            </w:r>
            <w:r w:rsidRPr="004B4A8E">
              <w:rPr>
                <w:sz w:val="20"/>
                <w:szCs w:val="20"/>
              </w:rPr>
              <w:t xml:space="preserve"> </w:t>
            </w:r>
            <w:r w:rsidRPr="00FF7C9B">
              <w:rPr>
                <w:sz w:val="20"/>
                <w:szCs w:val="20"/>
                <w:lang w:val="en-US"/>
              </w:rPr>
              <w:t>Nest</w:t>
            </w:r>
            <w:r w:rsidRPr="004B4A8E">
              <w:rPr>
                <w:sz w:val="20"/>
                <w:szCs w:val="20"/>
              </w:rPr>
              <w:t xml:space="preserve"> </w:t>
            </w:r>
            <w:r w:rsidRPr="00FF7C9B">
              <w:rPr>
                <w:sz w:val="20"/>
                <w:szCs w:val="20"/>
              </w:rPr>
              <w:t>και</w:t>
            </w:r>
            <w:r w:rsidRPr="004B4A8E">
              <w:rPr>
                <w:sz w:val="20"/>
                <w:szCs w:val="20"/>
              </w:rPr>
              <w:t xml:space="preserve"> </w:t>
            </w:r>
            <w:r w:rsidRPr="00FF7C9B">
              <w:rPr>
                <w:sz w:val="20"/>
                <w:szCs w:val="20"/>
                <w:lang w:val="en-US"/>
              </w:rPr>
              <w:t>Environments</w:t>
            </w:r>
            <w:r w:rsidRPr="004B4A8E">
              <w:rPr>
                <w:sz w:val="20"/>
                <w:szCs w:val="20"/>
              </w:rPr>
              <w:t xml:space="preserve">, </w:t>
            </w:r>
            <w:r w:rsidRPr="00FF7C9B">
              <w:rPr>
                <w:sz w:val="20"/>
                <w:szCs w:val="20"/>
              </w:rPr>
              <w:t>του</w:t>
            </w:r>
            <w:r w:rsidRPr="004B4A8E">
              <w:rPr>
                <w:sz w:val="20"/>
                <w:szCs w:val="20"/>
              </w:rPr>
              <w:t xml:space="preserve"> </w:t>
            </w:r>
            <w:r w:rsidRPr="00FF7C9B">
              <w:rPr>
                <w:sz w:val="20"/>
                <w:szCs w:val="20"/>
                <w:lang w:val="en-US"/>
              </w:rPr>
              <w:t>advisory</w:t>
            </w:r>
            <w:r w:rsidRPr="004B4A8E">
              <w:rPr>
                <w:sz w:val="20"/>
                <w:szCs w:val="20"/>
              </w:rPr>
              <w:t xml:space="preserve"> </w:t>
            </w:r>
            <w:r w:rsidRPr="00FF7C9B">
              <w:rPr>
                <w:sz w:val="20"/>
                <w:szCs w:val="20"/>
                <w:lang w:val="en-US"/>
              </w:rPr>
              <w:t>board</w:t>
            </w:r>
            <w:r w:rsidRPr="004B4A8E">
              <w:rPr>
                <w:sz w:val="20"/>
                <w:szCs w:val="20"/>
              </w:rPr>
              <w:t xml:space="preserve"> </w:t>
            </w:r>
            <w:r w:rsidRPr="00FF7C9B">
              <w:rPr>
                <w:sz w:val="20"/>
                <w:szCs w:val="20"/>
              </w:rPr>
              <w:t>στο</w:t>
            </w:r>
            <w:r w:rsidRPr="004B4A8E">
              <w:rPr>
                <w:sz w:val="20"/>
                <w:szCs w:val="20"/>
              </w:rPr>
              <w:t xml:space="preserve"> </w:t>
            </w:r>
            <w:r w:rsidRPr="00FF7C9B">
              <w:rPr>
                <w:sz w:val="20"/>
                <w:szCs w:val="20"/>
              </w:rPr>
              <w:t>περιοδικό</w:t>
            </w:r>
            <w:r w:rsidRPr="004B4A8E">
              <w:rPr>
                <w:sz w:val="20"/>
                <w:szCs w:val="20"/>
              </w:rPr>
              <w:t xml:space="preserve"> </w:t>
            </w:r>
            <w:r w:rsidRPr="00FF7C9B">
              <w:rPr>
                <w:sz w:val="20"/>
                <w:szCs w:val="20"/>
                <w:lang w:val="en-US"/>
              </w:rPr>
              <w:t>Sci</w:t>
            </w:r>
            <w:r w:rsidRPr="004B4A8E">
              <w:rPr>
                <w:sz w:val="20"/>
                <w:szCs w:val="20"/>
              </w:rPr>
              <w:t xml:space="preserve"> </w:t>
            </w:r>
            <w:r w:rsidRPr="00FF7C9B">
              <w:rPr>
                <w:sz w:val="20"/>
                <w:szCs w:val="20"/>
              </w:rPr>
              <w:t>και</w:t>
            </w:r>
            <w:r w:rsidRPr="004B4A8E">
              <w:rPr>
                <w:sz w:val="20"/>
                <w:szCs w:val="20"/>
              </w:rPr>
              <w:t xml:space="preserve"> </w:t>
            </w:r>
            <w:r w:rsidRPr="00FF7C9B">
              <w:rPr>
                <w:sz w:val="20"/>
                <w:szCs w:val="20"/>
                <w:lang w:val="en-US"/>
              </w:rPr>
              <w:t>guest</w:t>
            </w:r>
            <w:r w:rsidRPr="004B4A8E">
              <w:rPr>
                <w:sz w:val="20"/>
                <w:szCs w:val="20"/>
              </w:rPr>
              <w:t xml:space="preserve"> </w:t>
            </w:r>
            <w:r w:rsidRPr="00FF7C9B">
              <w:rPr>
                <w:sz w:val="20"/>
                <w:szCs w:val="20"/>
                <w:lang w:val="en-US"/>
              </w:rPr>
              <w:t>editor</w:t>
            </w:r>
            <w:r w:rsidRPr="004B4A8E">
              <w:rPr>
                <w:sz w:val="20"/>
                <w:szCs w:val="20"/>
              </w:rPr>
              <w:t xml:space="preserve"> </w:t>
            </w:r>
            <w:r w:rsidRPr="00FF7C9B">
              <w:rPr>
                <w:sz w:val="20"/>
                <w:szCs w:val="20"/>
              </w:rPr>
              <w:t>στα</w:t>
            </w:r>
            <w:r w:rsidRPr="004B4A8E">
              <w:rPr>
                <w:sz w:val="20"/>
                <w:szCs w:val="20"/>
              </w:rPr>
              <w:t xml:space="preserve"> </w:t>
            </w:r>
            <w:r w:rsidRPr="00FF7C9B">
              <w:rPr>
                <w:sz w:val="20"/>
                <w:szCs w:val="20"/>
              </w:rPr>
              <w:t>περιοδικά</w:t>
            </w:r>
            <w:r w:rsidRPr="004B4A8E">
              <w:rPr>
                <w:sz w:val="20"/>
                <w:szCs w:val="20"/>
              </w:rPr>
              <w:t xml:space="preserve"> </w:t>
            </w:r>
            <w:r w:rsidRPr="00FF7C9B">
              <w:rPr>
                <w:sz w:val="20"/>
                <w:szCs w:val="20"/>
                <w:lang w:val="en-US"/>
              </w:rPr>
              <w:t>International</w:t>
            </w:r>
            <w:r w:rsidRPr="004B4A8E">
              <w:rPr>
                <w:sz w:val="20"/>
                <w:szCs w:val="20"/>
              </w:rPr>
              <w:t xml:space="preserve"> </w:t>
            </w:r>
            <w:r w:rsidRPr="00FF7C9B">
              <w:rPr>
                <w:sz w:val="20"/>
                <w:szCs w:val="20"/>
                <w:lang w:val="en-US"/>
              </w:rPr>
              <w:t>Journal</w:t>
            </w:r>
            <w:r w:rsidRPr="004B4A8E">
              <w:rPr>
                <w:sz w:val="20"/>
                <w:szCs w:val="20"/>
              </w:rPr>
              <w:t xml:space="preserve"> </w:t>
            </w:r>
            <w:r w:rsidRPr="00FF7C9B">
              <w:rPr>
                <w:sz w:val="20"/>
                <w:szCs w:val="20"/>
                <w:lang w:val="en-US"/>
              </w:rPr>
              <w:t>of</w:t>
            </w:r>
            <w:r w:rsidRPr="004B4A8E">
              <w:rPr>
                <w:sz w:val="20"/>
                <w:szCs w:val="20"/>
              </w:rPr>
              <w:t xml:space="preserve"> </w:t>
            </w:r>
            <w:r>
              <w:rPr>
                <w:sz w:val="20"/>
                <w:szCs w:val="20"/>
                <w:lang w:val="en-US"/>
              </w:rPr>
              <w:t>Environmental</w:t>
            </w:r>
            <w:r w:rsidRPr="004B4A8E">
              <w:rPr>
                <w:sz w:val="20"/>
                <w:szCs w:val="20"/>
              </w:rPr>
              <w:t xml:space="preserve"> </w:t>
            </w:r>
            <w:r>
              <w:rPr>
                <w:sz w:val="20"/>
                <w:szCs w:val="20"/>
                <w:lang w:val="en-US"/>
              </w:rPr>
              <w:t>Research</w:t>
            </w:r>
            <w:r>
              <w:rPr>
                <w:sz w:val="20"/>
                <w:szCs w:val="20"/>
              </w:rPr>
              <w:t xml:space="preserve">, </w:t>
            </w:r>
            <w:r>
              <w:rPr>
                <w:sz w:val="20"/>
                <w:szCs w:val="20"/>
                <w:lang w:val="en-US"/>
              </w:rPr>
              <w:t>Environments</w:t>
            </w:r>
            <w:r w:rsidRPr="00B27F36">
              <w:rPr>
                <w:sz w:val="20"/>
                <w:szCs w:val="20"/>
              </w:rPr>
              <w:t xml:space="preserve"> </w:t>
            </w:r>
            <w:r>
              <w:rPr>
                <w:sz w:val="20"/>
                <w:szCs w:val="20"/>
              </w:rPr>
              <w:t xml:space="preserve">και </w:t>
            </w:r>
            <w:r>
              <w:rPr>
                <w:sz w:val="20"/>
                <w:szCs w:val="20"/>
                <w:lang w:val="en-US"/>
              </w:rPr>
              <w:t>Water</w:t>
            </w:r>
            <w:r w:rsidRPr="004B4A8E">
              <w:rPr>
                <w:sz w:val="20"/>
                <w:szCs w:val="20"/>
              </w:rPr>
              <w:t xml:space="preserve">. </w:t>
            </w:r>
            <w:r>
              <w:rPr>
                <w:sz w:val="20"/>
                <w:szCs w:val="20"/>
              </w:rPr>
              <w:t>Έχει αξιολογήσει συνολικά&gt;460 εργασίες σε &gt;50 επιστημονικά περιοδικά και μεγάλο αριθμό</w:t>
            </w:r>
            <w:r w:rsidRPr="00B27F36">
              <w:rPr>
                <w:sz w:val="20"/>
                <w:szCs w:val="20"/>
              </w:rPr>
              <w:t xml:space="preserve"> </w:t>
            </w:r>
            <w:r>
              <w:rPr>
                <w:sz w:val="20"/>
                <w:szCs w:val="20"/>
              </w:rPr>
              <w:t>ευρωπαϊκών  ερευνητικών προτάσεων</w:t>
            </w:r>
            <w:r w:rsidRPr="00B27F36">
              <w:rPr>
                <w:sz w:val="20"/>
                <w:szCs w:val="20"/>
              </w:rPr>
              <w:t>.</w:t>
            </w:r>
          </w:p>
        </w:tc>
      </w:tr>
      <w:tr w:rsidR="00B1358D" w:rsidRPr="00B27F36" w:rsidTr="00F33ACE">
        <w:tc>
          <w:tcPr>
            <w:tcW w:w="1980" w:type="dxa"/>
          </w:tcPr>
          <w:p w:rsidR="00B1358D" w:rsidRPr="00D207BE" w:rsidRDefault="00B1358D" w:rsidP="00F33ACE">
            <w:pPr>
              <w:jc w:val="right"/>
              <w:rPr>
                <w:b/>
                <w:sz w:val="20"/>
                <w:szCs w:val="20"/>
              </w:rPr>
            </w:pPr>
            <w:r w:rsidRPr="00D207BE">
              <w:rPr>
                <w:b/>
                <w:sz w:val="20"/>
                <w:szCs w:val="20"/>
              </w:rPr>
              <w:t>Δημοσιεύσεις</w:t>
            </w:r>
          </w:p>
          <w:p w:rsidR="00B1358D" w:rsidRPr="00D207BE" w:rsidRDefault="00B1358D" w:rsidP="00F33ACE">
            <w:pPr>
              <w:jc w:val="right"/>
              <w:rPr>
                <w:b/>
                <w:sz w:val="20"/>
                <w:szCs w:val="20"/>
              </w:rPr>
            </w:pPr>
            <w:r w:rsidRPr="00D207BE">
              <w:rPr>
                <w:b/>
                <w:sz w:val="20"/>
                <w:szCs w:val="20"/>
              </w:rPr>
              <w:t>2013-2018</w:t>
            </w:r>
          </w:p>
          <w:p w:rsidR="00B1358D" w:rsidRPr="00D207BE" w:rsidRDefault="00B1358D" w:rsidP="00F33ACE">
            <w:pPr>
              <w:jc w:val="right"/>
              <w:rPr>
                <w:b/>
                <w:sz w:val="20"/>
                <w:szCs w:val="20"/>
              </w:rPr>
            </w:pPr>
            <w:r w:rsidRPr="00D207BE">
              <w:rPr>
                <w:b/>
                <w:i/>
                <w:sz w:val="20"/>
                <w:szCs w:val="20"/>
              </w:rPr>
              <w:t>(έως πέντε)</w:t>
            </w:r>
          </w:p>
        </w:tc>
        <w:tc>
          <w:tcPr>
            <w:tcW w:w="7648" w:type="dxa"/>
            <w:gridSpan w:val="2"/>
          </w:tcPr>
          <w:p w:rsidR="00B1358D" w:rsidRPr="004548C4" w:rsidRDefault="00B1358D" w:rsidP="00F33ACE">
            <w:pPr>
              <w:pStyle w:val="a4"/>
              <w:widowControl w:val="0"/>
              <w:numPr>
                <w:ilvl w:val="0"/>
                <w:numId w:val="1"/>
              </w:numPr>
              <w:overflowPunct w:val="0"/>
              <w:autoSpaceDE w:val="0"/>
              <w:autoSpaceDN w:val="0"/>
              <w:adjustRightInd w:val="0"/>
              <w:spacing w:after="0" w:line="240" w:lineRule="auto"/>
              <w:ind w:left="317" w:hanging="317"/>
              <w:jc w:val="both"/>
              <w:textAlignment w:val="baseline"/>
              <w:rPr>
                <w:rFonts w:ascii="Calibri" w:eastAsia="Times New Roman" w:hAnsi="Calibri" w:cs="Calibri"/>
                <w:sz w:val="20"/>
                <w:szCs w:val="20"/>
                <w:lang w:val="en-US"/>
              </w:rPr>
            </w:pPr>
            <w:r w:rsidRPr="004548C4">
              <w:rPr>
                <w:rFonts w:ascii="Calibri" w:eastAsia="Times New Roman" w:hAnsi="Calibri" w:cs="Calibri"/>
                <w:sz w:val="20"/>
                <w:szCs w:val="20"/>
                <w:lang w:val="en-US"/>
              </w:rPr>
              <w:t xml:space="preserve">Kouskouki, A., Chatzisymeon, E., Mantzavinos, D., </w:t>
            </w:r>
            <w:r w:rsidRPr="001D399F">
              <w:rPr>
                <w:rFonts w:ascii="Calibri" w:eastAsia="Times New Roman" w:hAnsi="Calibri" w:cs="Calibri"/>
                <w:b/>
                <w:sz w:val="20"/>
                <w:szCs w:val="20"/>
                <w:lang w:val="en-US"/>
              </w:rPr>
              <w:t>Frontistis, Z</w:t>
            </w:r>
            <w:r w:rsidRPr="004548C4">
              <w:rPr>
                <w:rFonts w:ascii="Calibri" w:eastAsia="Times New Roman" w:hAnsi="Calibri" w:cs="Calibri"/>
                <w:sz w:val="20"/>
                <w:szCs w:val="20"/>
                <w:lang w:val="en-US"/>
              </w:rPr>
              <w:t>., Electrochemical degradation of piroxicam on a boron doped diamond anode: Investigation of operating parameters and ultrasound syne</w:t>
            </w:r>
            <w:r>
              <w:rPr>
                <w:rFonts w:ascii="Calibri" w:eastAsia="Times New Roman" w:hAnsi="Calibri" w:cs="Calibri"/>
                <w:sz w:val="20"/>
                <w:szCs w:val="20"/>
                <w:lang w:val="en-US"/>
              </w:rPr>
              <w:t>rgy. ChemElectroChem (in press</w:t>
            </w:r>
            <w:r w:rsidRPr="004548C4">
              <w:rPr>
                <w:rFonts w:ascii="Calibri" w:eastAsia="Times New Roman" w:hAnsi="Calibri" w:cs="Calibri"/>
                <w:i/>
                <w:sz w:val="20"/>
                <w:szCs w:val="20"/>
                <w:lang w:val="en-US"/>
              </w:rPr>
              <w:t>).</w:t>
            </w:r>
          </w:p>
          <w:p w:rsidR="00B1358D" w:rsidRDefault="00B1358D" w:rsidP="00F33ACE">
            <w:pPr>
              <w:pStyle w:val="a4"/>
              <w:widowControl w:val="0"/>
              <w:numPr>
                <w:ilvl w:val="0"/>
                <w:numId w:val="1"/>
              </w:numPr>
              <w:overflowPunct w:val="0"/>
              <w:autoSpaceDE w:val="0"/>
              <w:autoSpaceDN w:val="0"/>
              <w:adjustRightInd w:val="0"/>
              <w:spacing w:after="0" w:line="240" w:lineRule="auto"/>
              <w:ind w:left="317"/>
              <w:jc w:val="both"/>
              <w:textAlignment w:val="baseline"/>
              <w:rPr>
                <w:rFonts w:ascii="Calibri" w:eastAsia="Times New Roman" w:hAnsi="Calibri" w:cs="Calibri"/>
                <w:sz w:val="20"/>
                <w:szCs w:val="20"/>
                <w:lang w:val="en-US"/>
              </w:rPr>
            </w:pPr>
            <w:r w:rsidRPr="001D399F">
              <w:rPr>
                <w:rFonts w:ascii="Calibri" w:eastAsia="Times New Roman" w:hAnsi="Calibri" w:cs="Calibri"/>
                <w:b/>
                <w:sz w:val="20"/>
                <w:szCs w:val="20"/>
                <w:lang w:val="en-US"/>
              </w:rPr>
              <w:t>Frontisis, Z</w:t>
            </w:r>
            <w:r w:rsidRPr="001D399F">
              <w:rPr>
                <w:rFonts w:ascii="Calibri" w:eastAsia="Times New Roman" w:hAnsi="Calibri" w:cs="Calibri"/>
                <w:i/>
                <w:sz w:val="20"/>
                <w:szCs w:val="20"/>
                <w:lang w:val="en-US"/>
              </w:rPr>
              <w:t>,</w:t>
            </w:r>
            <w:r w:rsidRPr="00C12DEE">
              <w:rPr>
                <w:rFonts w:ascii="Calibri" w:eastAsia="Times New Roman" w:hAnsi="Calibri" w:cs="Calibri"/>
                <w:sz w:val="20"/>
                <w:szCs w:val="20"/>
                <w:lang w:val="en-US"/>
              </w:rPr>
              <w:t xml:space="preserve"> Mantzavinos, D., Meric, S. Degradation of antibiotic ampicillin on boron-doped diamond anode using the combined electrochemical oxidation - sodium persulfate process (2018) Journal of Environmental Management, 223, pp. 878-887.</w:t>
            </w:r>
          </w:p>
          <w:p w:rsidR="00B1358D" w:rsidRDefault="00B1358D" w:rsidP="00F33ACE">
            <w:pPr>
              <w:pStyle w:val="a4"/>
              <w:widowControl w:val="0"/>
              <w:numPr>
                <w:ilvl w:val="0"/>
                <w:numId w:val="1"/>
              </w:numPr>
              <w:overflowPunct w:val="0"/>
              <w:autoSpaceDE w:val="0"/>
              <w:autoSpaceDN w:val="0"/>
              <w:adjustRightInd w:val="0"/>
              <w:spacing w:after="0" w:line="240" w:lineRule="auto"/>
              <w:ind w:left="361"/>
              <w:jc w:val="both"/>
              <w:textAlignment w:val="baseline"/>
              <w:outlineLvl w:val="0"/>
              <w:rPr>
                <w:rFonts w:ascii="Calibri" w:eastAsia="Times New Roman" w:hAnsi="Calibri" w:cs="Calibri"/>
                <w:sz w:val="20"/>
                <w:szCs w:val="20"/>
                <w:lang w:val="en-US"/>
              </w:rPr>
            </w:pPr>
            <w:r w:rsidRPr="00C12DEE">
              <w:rPr>
                <w:rFonts w:ascii="Calibri" w:eastAsia="Times New Roman" w:hAnsi="Calibri" w:cs="Calibri"/>
                <w:sz w:val="20"/>
                <w:szCs w:val="20"/>
                <w:lang w:val="en-US"/>
              </w:rPr>
              <w:t>Grilla, E., Petala, A.,</w:t>
            </w:r>
            <w:r>
              <w:rPr>
                <w:rFonts w:ascii="Calibri" w:eastAsia="Times New Roman" w:hAnsi="Calibri" w:cs="Calibri"/>
                <w:sz w:val="20"/>
                <w:szCs w:val="20"/>
                <w:lang w:val="en-US"/>
              </w:rPr>
              <w:t xml:space="preserve"> </w:t>
            </w:r>
            <w:r w:rsidRPr="001D399F">
              <w:rPr>
                <w:rFonts w:ascii="Calibri" w:eastAsia="Times New Roman" w:hAnsi="Calibri" w:cs="Calibri"/>
                <w:b/>
                <w:sz w:val="20"/>
                <w:szCs w:val="20"/>
                <w:lang w:val="en-US"/>
              </w:rPr>
              <w:t>Frontistis, Z.,</w:t>
            </w:r>
            <w:r>
              <w:rPr>
                <w:rFonts w:ascii="Calibri" w:eastAsia="Times New Roman" w:hAnsi="Calibri" w:cs="Calibri"/>
                <w:sz w:val="20"/>
                <w:szCs w:val="20"/>
                <w:lang w:val="en-US"/>
              </w:rPr>
              <w:t xml:space="preserve"> Konstantinou, </w:t>
            </w:r>
            <w:r>
              <w:rPr>
                <w:rFonts w:ascii="Calibri" w:eastAsia="Times New Roman" w:hAnsi="Calibri" w:cs="Calibri"/>
                <w:sz w:val="20"/>
                <w:szCs w:val="20"/>
              </w:rPr>
              <w:t>Ι</w:t>
            </w:r>
            <w:r w:rsidRPr="00C12DEE">
              <w:rPr>
                <w:rFonts w:ascii="Calibri" w:eastAsia="Times New Roman" w:hAnsi="Calibri" w:cs="Calibri"/>
                <w:sz w:val="20"/>
                <w:szCs w:val="20"/>
                <w:lang w:val="en-US"/>
              </w:rPr>
              <w:t>, Kondarides, D.I., Mantzavinos, D. Solar photocatalytic abatement of sulfamethoxazole over Ag</w:t>
            </w:r>
            <w:r w:rsidRPr="00C91C75">
              <w:rPr>
                <w:rFonts w:ascii="Calibri" w:eastAsia="Times New Roman" w:hAnsi="Calibri" w:cs="Calibri"/>
                <w:sz w:val="20"/>
                <w:szCs w:val="20"/>
                <w:vertAlign w:val="subscript"/>
                <w:lang w:val="en-US"/>
              </w:rPr>
              <w:t>3</w:t>
            </w:r>
            <w:r w:rsidRPr="00C12DEE">
              <w:rPr>
                <w:rFonts w:ascii="Calibri" w:eastAsia="Times New Roman" w:hAnsi="Calibri" w:cs="Calibri"/>
                <w:sz w:val="20"/>
                <w:szCs w:val="20"/>
                <w:lang w:val="en-US"/>
              </w:rPr>
              <w:t>PO</w:t>
            </w:r>
            <w:r w:rsidRPr="00C91C75">
              <w:rPr>
                <w:rFonts w:ascii="Calibri" w:eastAsia="Times New Roman" w:hAnsi="Calibri" w:cs="Calibri"/>
                <w:sz w:val="20"/>
                <w:szCs w:val="20"/>
                <w:vertAlign w:val="subscript"/>
                <w:lang w:val="en-US"/>
              </w:rPr>
              <w:t>4</w:t>
            </w:r>
            <w:r w:rsidRPr="00C12DEE">
              <w:rPr>
                <w:rFonts w:ascii="Calibri" w:eastAsia="Times New Roman" w:hAnsi="Calibri" w:cs="Calibri"/>
                <w:sz w:val="20"/>
                <w:szCs w:val="20"/>
                <w:lang w:val="en-US"/>
              </w:rPr>
              <w:t>/WO</w:t>
            </w:r>
            <w:r w:rsidRPr="00C91C75">
              <w:rPr>
                <w:rFonts w:ascii="Calibri" w:eastAsia="Times New Roman" w:hAnsi="Calibri" w:cs="Calibri"/>
                <w:sz w:val="20"/>
                <w:szCs w:val="20"/>
                <w:vertAlign w:val="subscript"/>
                <w:lang w:val="en-US"/>
              </w:rPr>
              <w:t>3</w:t>
            </w:r>
            <w:r w:rsidRPr="00C12DEE">
              <w:rPr>
                <w:rFonts w:ascii="Calibri" w:eastAsia="Times New Roman" w:hAnsi="Calibri" w:cs="Calibri"/>
                <w:sz w:val="20"/>
                <w:szCs w:val="20"/>
                <w:lang w:val="en-US"/>
              </w:rPr>
              <w:t xml:space="preserve"> composites (2018) Applied Catalysis B: Environmental, 231, pp. 73-81.</w:t>
            </w:r>
          </w:p>
          <w:p w:rsidR="00B1358D" w:rsidRPr="00C12DEE" w:rsidRDefault="00B1358D" w:rsidP="00F33ACE">
            <w:pPr>
              <w:pStyle w:val="a4"/>
              <w:widowControl w:val="0"/>
              <w:numPr>
                <w:ilvl w:val="0"/>
                <w:numId w:val="1"/>
              </w:numPr>
              <w:overflowPunct w:val="0"/>
              <w:autoSpaceDE w:val="0"/>
              <w:autoSpaceDN w:val="0"/>
              <w:adjustRightInd w:val="0"/>
              <w:spacing w:after="0" w:line="240" w:lineRule="auto"/>
              <w:ind w:left="317" w:hanging="317"/>
              <w:jc w:val="both"/>
              <w:textAlignment w:val="baseline"/>
              <w:outlineLvl w:val="0"/>
              <w:rPr>
                <w:rFonts w:ascii="Calibri" w:eastAsia="Times New Roman" w:hAnsi="Calibri" w:cs="Calibri"/>
                <w:sz w:val="20"/>
                <w:szCs w:val="20"/>
                <w:lang w:val="en-US"/>
              </w:rPr>
            </w:pPr>
            <w:r w:rsidRPr="00C12DEE">
              <w:rPr>
                <w:rFonts w:ascii="Calibri" w:eastAsia="Times New Roman" w:hAnsi="Calibri" w:cs="Calibri"/>
                <w:sz w:val="20"/>
                <w:szCs w:val="20"/>
                <w:lang w:val="en-US"/>
              </w:rPr>
              <w:t xml:space="preserve">Foteinis, S., Chatzisymeon, E., </w:t>
            </w:r>
            <w:r w:rsidRPr="001D399F">
              <w:rPr>
                <w:rFonts w:ascii="Calibri" w:eastAsia="Times New Roman" w:hAnsi="Calibri" w:cs="Calibri"/>
                <w:b/>
                <w:sz w:val="20"/>
                <w:szCs w:val="20"/>
                <w:lang w:val="en-US"/>
              </w:rPr>
              <w:t>Frontistis, Z</w:t>
            </w:r>
            <w:r w:rsidRPr="00C12DEE">
              <w:rPr>
                <w:rFonts w:ascii="Calibri" w:eastAsia="Times New Roman" w:hAnsi="Calibri" w:cs="Calibri"/>
                <w:sz w:val="20"/>
                <w:szCs w:val="20"/>
                <w:lang w:val="en-US"/>
              </w:rPr>
              <w:t>., Mantzavinos, D., Environmental sustainabillity of light driven processes for wastewater treatment application (2018) Journal of Cleaner production, 182, pp. 8-15.</w:t>
            </w:r>
          </w:p>
          <w:p w:rsidR="00B1358D" w:rsidRPr="00C12DEE" w:rsidRDefault="00B1358D" w:rsidP="00F33ACE">
            <w:pPr>
              <w:pStyle w:val="a4"/>
              <w:numPr>
                <w:ilvl w:val="0"/>
                <w:numId w:val="1"/>
              </w:numPr>
              <w:overflowPunct w:val="0"/>
              <w:autoSpaceDE w:val="0"/>
              <w:autoSpaceDN w:val="0"/>
              <w:adjustRightInd w:val="0"/>
              <w:spacing w:after="0" w:line="240" w:lineRule="auto"/>
              <w:ind w:left="317" w:hanging="283"/>
              <w:jc w:val="both"/>
              <w:textAlignment w:val="baseline"/>
              <w:rPr>
                <w:rFonts w:ascii="Calibri" w:eastAsia="Times New Roman" w:hAnsi="Calibri" w:cs="Calibri"/>
                <w:sz w:val="20"/>
                <w:szCs w:val="20"/>
                <w:lang w:val="en-US"/>
              </w:rPr>
            </w:pPr>
            <w:r w:rsidRPr="00CF4032">
              <w:rPr>
                <w:rFonts w:ascii="Calibri" w:eastAsia="Times New Roman" w:hAnsi="Calibri" w:cs="Calibri"/>
                <w:sz w:val="20"/>
                <w:szCs w:val="20"/>
                <w:lang w:val="en-US"/>
              </w:rPr>
              <w:t xml:space="preserve">Kemmou, L., </w:t>
            </w:r>
            <w:r w:rsidRPr="001D399F">
              <w:rPr>
                <w:rFonts w:ascii="Calibri" w:eastAsia="Times New Roman" w:hAnsi="Calibri" w:cs="Calibri"/>
                <w:b/>
                <w:sz w:val="20"/>
                <w:szCs w:val="20"/>
                <w:lang w:val="en-US"/>
              </w:rPr>
              <w:t>Frontistis, Z.,</w:t>
            </w:r>
            <w:r w:rsidRPr="00CF4032">
              <w:rPr>
                <w:rFonts w:ascii="Calibri" w:eastAsia="Times New Roman" w:hAnsi="Calibri" w:cs="Calibri"/>
                <w:sz w:val="20"/>
                <w:szCs w:val="20"/>
                <w:lang w:val="en-US"/>
              </w:rPr>
              <w:t xml:space="preserve"> Vakros, L., Manariotis, I.D., Mantzavinos, D. Degradation of antibiotic sulfamethoxazole by biochar-activated persulfate: Factors affecting the activation and degradation processes (2018) Catalysis Today, 313, pp. 128-133.</w:t>
            </w:r>
          </w:p>
        </w:tc>
      </w:tr>
      <w:tr w:rsidR="00B1358D" w:rsidRPr="004B4A8E" w:rsidTr="00F33ACE">
        <w:tc>
          <w:tcPr>
            <w:tcW w:w="1980" w:type="dxa"/>
          </w:tcPr>
          <w:p w:rsidR="00B1358D" w:rsidRPr="00D207BE" w:rsidRDefault="00B1358D" w:rsidP="00F33ACE">
            <w:pPr>
              <w:jc w:val="right"/>
              <w:rPr>
                <w:b/>
                <w:sz w:val="20"/>
                <w:szCs w:val="20"/>
              </w:rPr>
            </w:pPr>
            <w:r w:rsidRPr="00D207BE">
              <w:rPr>
                <w:b/>
                <w:sz w:val="20"/>
                <w:szCs w:val="20"/>
              </w:rPr>
              <w:t>Ερευνητικά Προγράμματα</w:t>
            </w:r>
          </w:p>
          <w:p w:rsidR="00B1358D" w:rsidRPr="00D207BE" w:rsidRDefault="00B1358D" w:rsidP="00F33ACE">
            <w:pPr>
              <w:jc w:val="right"/>
              <w:rPr>
                <w:b/>
                <w:sz w:val="20"/>
                <w:szCs w:val="20"/>
              </w:rPr>
            </w:pPr>
            <w:r w:rsidRPr="00D207BE">
              <w:rPr>
                <w:b/>
                <w:sz w:val="20"/>
                <w:szCs w:val="20"/>
              </w:rPr>
              <w:t xml:space="preserve">2013-2018 </w:t>
            </w:r>
          </w:p>
          <w:p w:rsidR="00B1358D" w:rsidRPr="00D207BE" w:rsidRDefault="00B1358D" w:rsidP="00F33ACE">
            <w:pPr>
              <w:jc w:val="right"/>
              <w:rPr>
                <w:b/>
                <w:sz w:val="20"/>
                <w:szCs w:val="20"/>
              </w:rPr>
            </w:pPr>
            <w:r w:rsidRPr="00D207BE">
              <w:rPr>
                <w:b/>
                <w:i/>
                <w:sz w:val="20"/>
                <w:szCs w:val="20"/>
              </w:rPr>
              <w:t>(έως πέντε)</w:t>
            </w:r>
          </w:p>
        </w:tc>
        <w:tc>
          <w:tcPr>
            <w:tcW w:w="7648" w:type="dxa"/>
            <w:gridSpan w:val="2"/>
          </w:tcPr>
          <w:p w:rsidR="00B1358D" w:rsidRPr="000A1440" w:rsidRDefault="00B1358D" w:rsidP="00F33ACE">
            <w:pPr>
              <w:pStyle w:val="a4"/>
              <w:numPr>
                <w:ilvl w:val="0"/>
                <w:numId w:val="2"/>
              </w:numPr>
              <w:overflowPunct w:val="0"/>
              <w:autoSpaceDE w:val="0"/>
              <w:autoSpaceDN w:val="0"/>
              <w:adjustRightInd w:val="0"/>
              <w:spacing w:after="0" w:line="240" w:lineRule="auto"/>
              <w:ind w:left="317"/>
              <w:jc w:val="both"/>
              <w:textAlignment w:val="baseline"/>
              <w:rPr>
                <w:rFonts w:eastAsia="Times New Roman" w:cstheme="minorHAnsi"/>
                <w:bCs/>
                <w:color w:val="000000"/>
                <w:sz w:val="20"/>
                <w:szCs w:val="20"/>
                <w:lang w:val="en-US" w:eastAsia="el-GR"/>
              </w:rPr>
            </w:pPr>
            <w:r w:rsidRPr="000A1440">
              <w:rPr>
                <w:rFonts w:eastAsia="Times New Roman" w:cstheme="minorHAnsi"/>
                <w:bCs/>
                <w:color w:val="000000"/>
                <w:sz w:val="20"/>
                <w:szCs w:val="20"/>
                <w:lang w:val="en-US" w:eastAsia="el-GR"/>
              </w:rPr>
              <w:t xml:space="preserve"> Development of advanced oxidation processes based on nanomaterials and sunlight for the removal of toxic substances, endocrine disruptors and cyanotoxins from natural waters and wastewaters” – (THALES), UPATRAS</w:t>
            </w:r>
            <w:r>
              <w:rPr>
                <w:rFonts w:eastAsia="Times New Roman" w:cstheme="minorHAnsi"/>
                <w:bCs/>
                <w:color w:val="000000"/>
                <w:sz w:val="20"/>
                <w:szCs w:val="20"/>
                <w:lang w:val="en-US" w:eastAsia="el-GR"/>
              </w:rPr>
              <w:t xml:space="preserve"> (2013)</w:t>
            </w:r>
          </w:p>
          <w:p w:rsidR="00B1358D" w:rsidRPr="000A1440" w:rsidRDefault="00B1358D" w:rsidP="00F33ACE">
            <w:pPr>
              <w:pStyle w:val="a4"/>
              <w:numPr>
                <w:ilvl w:val="0"/>
                <w:numId w:val="2"/>
              </w:numPr>
              <w:overflowPunct w:val="0"/>
              <w:autoSpaceDE w:val="0"/>
              <w:autoSpaceDN w:val="0"/>
              <w:adjustRightInd w:val="0"/>
              <w:spacing w:after="0" w:line="240" w:lineRule="auto"/>
              <w:ind w:left="317" w:hanging="295"/>
              <w:jc w:val="both"/>
              <w:textAlignment w:val="baseline"/>
              <w:rPr>
                <w:rFonts w:eastAsia="Times New Roman" w:cstheme="minorHAnsi"/>
                <w:bCs/>
                <w:color w:val="000000"/>
                <w:sz w:val="20"/>
                <w:szCs w:val="20"/>
                <w:lang w:val="en-US" w:eastAsia="el-GR"/>
              </w:rPr>
            </w:pPr>
            <w:r w:rsidRPr="000A1440">
              <w:rPr>
                <w:rFonts w:eastAsia="Times New Roman" w:cstheme="minorHAnsi"/>
                <w:bCs/>
                <w:color w:val="000000"/>
                <w:sz w:val="20"/>
                <w:szCs w:val="20"/>
                <w:lang w:val="en-US" w:eastAsia="el-GR"/>
              </w:rPr>
              <w:t>Hybrid AOPs for the removal of emerging endocrine disruptors from aqueous matrices). UPATRAS</w:t>
            </w:r>
            <w:r>
              <w:rPr>
                <w:rFonts w:eastAsia="Times New Roman" w:cstheme="minorHAnsi"/>
                <w:bCs/>
                <w:color w:val="000000"/>
                <w:sz w:val="20"/>
                <w:szCs w:val="20"/>
                <w:lang w:val="en-US" w:eastAsia="el-GR"/>
              </w:rPr>
              <w:t xml:space="preserve"> (2014)</w:t>
            </w:r>
          </w:p>
          <w:p w:rsidR="00B1358D" w:rsidRPr="000A1440" w:rsidRDefault="00B1358D" w:rsidP="00F33ACE">
            <w:pPr>
              <w:pStyle w:val="a4"/>
              <w:numPr>
                <w:ilvl w:val="0"/>
                <w:numId w:val="2"/>
              </w:numPr>
              <w:overflowPunct w:val="0"/>
              <w:autoSpaceDE w:val="0"/>
              <w:autoSpaceDN w:val="0"/>
              <w:adjustRightInd w:val="0"/>
              <w:spacing w:after="0" w:line="240" w:lineRule="auto"/>
              <w:ind w:left="364" w:hanging="364"/>
              <w:jc w:val="both"/>
              <w:textAlignment w:val="baseline"/>
              <w:rPr>
                <w:rFonts w:eastAsia="Times New Roman" w:cstheme="minorHAnsi"/>
                <w:bCs/>
                <w:color w:val="000000"/>
                <w:sz w:val="20"/>
                <w:szCs w:val="20"/>
                <w:lang w:val="en-US" w:eastAsia="el-GR"/>
              </w:rPr>
            </w:pPr>
            <w:r w:rsidRPr="000A1440">
              <w:rPr>
                <w:rFonts w:eastAsia="Times New Roman" w:cstheme="minorHAnsi"/>
                <w:sz w:val="20"/>
                <w:szCs w:val="20"/>
                <w:lang w:val="en-US"/>
              </w:rPr>
              <w:t>Hybrid advanced oxidation processes for the simultaneous degradation of pharmaceuticals and disinfection, TUBITAK</w:t>
            </w:r>
            <w:r w:rsidRPr="00441336">
              <w:rPr>
                <w:rFonts w:eastAsia="Times New Roman" w:cstheme="minorHAnsi"/>
                <w:sz w:val="20"/>
                <w:szCs w:val="20"/>
                <w:lang w:val="en-US"/>
              </w:rPr>
              <w:t xml:space="preserve"> (2016)</w:t>
            </w:r>
          </w:p>
          <w:p w:rsidR="00B1358D" w:rsidRPr="004B4A8E" w:rsidRDefault="00B1358D" w:rsidP="00F33ACE">
            <w:pPr>
              <w:pStyle w:val="a4"/>
              <w:numPr>
                <w:ilvl w:val="0"/>
                <w:numId w:val="2"/>
              </w:numPr>
              <w:overflowPunct w:val="0"/>
              <w:autoSpaceDE w:val="0"/>
              <w:autoSpaceDN w:val="0"/>
              <w:adjustRightInd w:val="0"/>
              <w:spacing w:after="0" w:line="240" w:lineRule="auto"/>
              <w:ind w:left="317" w:hanging="283"/>
              <w:jc w:val="both"/>
              <w:textAlignment w:val="baseline"/>
              <w:rPr>
                <w:rFonts w:eastAsia="Times New Roman" w:cstheme="minorHAnsi"/>
                <w:bCs/>
                <w:color w:val="000000"/>
                <w:sz w:val="20"/>
                <w:szCs w:val="20"/>
                <w:lang w:val="en-US" w:eastAsia="el-GR"/>
              </w:rPr>
            </w:pPr>
            <w:r w:rsidRPr="000A1440">
              <w:rPr>
                <w:rFonts w:eastAsia="Times New Roman" w:cstheme="minorHAnsi"/>
                <w:sz w:val="20"/>
                <w:szCs w:val="20"/>
                <w:lang w:val="en-US"/>
              </w:rPr>
              <w:t>Clean Integrated Nanotechnology for Dyes Removal from Wastewaters (CLIENTDR), Incomera p</w:t>
            </w:r>
            <w:r>
              <w:rPr>
                <w:rFonts w:eastAsia="Times New Roman" w:cstheme="minorHAnsi"/>
                <w:sz w:val="20"/>
                <w:szCs w:val="20"/>
                <w:lang w:val="en-US"/>
              </w:rPr>
              <w:t>r</w:t>
            </w:r>
            <w:r w:rsidRPr="000A1440">
              <w:rPr>
                <w:rFonts w:eastAsia="Times New Roman" w:cstheme="minorHAnsi"/>
                <w:sz w:val="20"/>
                <w:szCs w:val="20"/>
                <w:lang w:val="en-US"/>
              </w:rPr>
              <w:t>oject</w:t>
            </w:r>
            <w:r>
              <w:rPr>
                <w:rFonts w:eastAsia="Times New Roman" w:cstheme="minorHAnsi"/>
                <w:sz w:val="20"/>
                <w:szCs w:val="20"/>
                <w:lang w:val="en-US"/>
              </w:rPr>
              <w:t xml:space="preserve"> (FP7)</w:t>
            </w:r>
            <w:r w:rsidRPr="000A1440">
              <w:rPr>
                <w:rFonts w:eastAsia="Times New Roman" w:cstheme="minorHAnsi"/>
                <w:sz w:val="20"/>
                <w:szCs w:val="20"/>
                <w:lang w:val="en-US"/>
              </w:rPr>
              <w:t>.</w:t>
            </w:r>
            <w:r w:rsidRPr="00441336">
              <w:rPr>
                <w:rFonts w:eastAsia="Times New Roman" w:cstheme="minorHAnsi"/>
                <w:sz w:val="20"/>
                <w:szCs w:val="20"/>
                <w:lang w:val="en-US"/>
              </w:rPr>
              <w:t xml:space="preserve"> </w:t>
            </w:r>
            <w:r w:rsidRPr="00FF5361">
              <w:rPr>
                <w:rFonts w:eastAsia="Times New Roman" w:cstheme="minorHAnsi"/>
                <w:sz w:val="20"/>
                <w:szCs w:val="20"/>
                <w:lang w:val="en-US"/>
              </w:rPr>
              <w:t>(2018)</w:t>
            </w:r>
          </w:p>
          <w:p w:rsidR="00B1358D" w:rsidRDefault="00B1358D" w:rsidP="00F33ACE">
            <w:pPr>
              <w:pStyle w:val="a4"/>
              <w:numPr>
                <w:ilvl w:val="0"/>
                <w:numId w:val="2"/>
              </w:numPr>
              <w:overflowPunct w:val="0"/>
              <w:autoSpaceDE w:val="0"/>
              <w:autoSpaceDN w:val="0"/>
              <w:adjustRightInd w:val="0"/>
              <w:spacing w:after="0" w:line="240" w:lineRule="auto"/>
              <w:ind w:left="317" w:hanging="283"/>
              <w:jc w:val="both"/>
              <w:textAlignment w:val="baseline"/>
              <w:rPr>
                <w:rFonts w:eastAsia="Times New Roman" w:cstheme="minorHAnsi"/>
                <w:bCs/>
                <w:color w:val="000000"/>
                <w:sz w:val="20"/>
                <w:szCs w:val="20"/>
                <w:lang w:val="en-US" w:eastAsia="el-GR"/>
              </w:rPr>
            </w:pPr>
            <w:r w:rsidRPr="004B4A8E">
              <w:rPr>
                <w:rFonts w:eastAsia="Times New Roman" w:cstheme="minorHAnsi"/>
                <w:bCs/>
                <w:color w:val="000000"/>
                <w:sz w:val="20"/>
                <w:szCs w:val="20"/>
                <w:lang w:val="en-US" w:eastAsia="el-GR"/>
              </w:rPr>
              <w:t>Development and Demonstration of a Photocatalytic Process for removing Pathogens and Pharmaceuticals from wastewaters</w:t>
            </w:r>
            <w:r>
              <w:rPr>
                <w:rFonts w:eastAsia="Times New Roman" w:cstheme="minorHAnsi"/>
                <w:bCs/>
                <w:color w:val="000000"/>
                <w:sz w:val="20"/>
                <w:szCs w:val="20"/>
                <w:lang w:val="en-US" w:eastAsia="el-GR"/>
              </w:rPr>
              <w:t xml:space="preserve"> (</w:t>
            </w:r>
            <w:r>
              <w:rPr>
                <w:rFonts w:eastAsia="Times New Roman" w:cstheme="minorHAnsi"/>
                <w:bCs/>
                <w:color w:val="000000"/>
                <w:sz w:val="20"/>
                <w:szCs w:val="20"/>
                <w:lang w:eastAsia="el-GR"/>
              </w:rPr>
              <w:t>ΕΛΙΔΕΚ</w:t>
            </w:r>
            <w:r w:rsidRPr="004B4A8E">
              <w:rPr>
                <w:rFonts w:eastAsia="Times New Roman" w:cstheme="minorHAnsi"/>
                <w:bCs/>
                <w:color w:val="000000"/>
                <w:sz w:val="20"/>
                <w:szCs w:val="20"/>
                <w:lang w:val="en-US" w:eastAsia="el-GR"/>
              </w:rPr>
              <w:t>) (2019)</w:t>
            </w:r>
          </w:p>
          <w:p w:rsidR="00B1358D" w:rsidRPr="004B4A8E" w:rsidRDefault="00B1358D" w:rsidP="00F33ACE">
            <w:pPr>
              <w:pStyle w:val="a4"/>
              <w:numPr>
                <w:ilvl w:val="0"/>
                <w:numId w:val="2"/>
              </w:numPr>
              <w:overflowPunct w:val="0"/>
              <w:autoSpaceDE w:val="0"/>
              <w:autoSpaceDN w:val="0"/>
              <w:adjustRightInd w:val="0"/>
              <w:spacing w:after="0" w:line="240" w:lineRule="auto"/>
              <w:ind w:left="317" w:hanging="283"/>
              <w:jc w:val="both"/>
              <w:textAlignment w:val="baseline"/>
              <w:rPr>
                <w:rFonts w:ascii="Calibri" w:eastAsia="Times New Roman" w:hAnsi="Calibri" w:cs="Calibri"/>
                <w:bCs/>
                <w:color w:val="000000"/>
                <w:sz w:val="20"/>
                <w:szCs w:val="20"/>
                <w:lang w:eastAsia="el-GR"/>
              </w:rPr>
            </w:pPr>
            <w:r w:rsidRPr="004B4A8E">
              <w:rPr>
                <w:rFonts w:eastAsia="Times New Roman" w:cstheme="minorHAnsi"/>
                <w:bCs/>
                <w:color w:val="000000"/>
                <w:sz w:val="20"/>
                <w:szCs w:val="20"/>
                <w:lang w:eastAsia="el-GR"/>
              </w:rPr>
              <w:t>Αναπτυξη μιας καινοτόμου υβριδικης ηλεκτροχημικης διεργαδίας βασισμενης στην βιομάζα για την απομάκρυνση ενδοκρινικών διαταρακτών</w:t>
            </w:r>
            <w:r>
              <w:rPr>
                <w:rFonts w:eastAsia="Times New Roman" w:cstheme="minorHAnsi"/>
                <w:bCs/>
                <w:color w:val="000000"/>
                <w:sz w:val="20"/>
                <w:szCs w:val="20"/>
                <w:lang w:eastAsia="el-GR"/>
              </w:rPr>
              <w:t xml:space="preserve"> (ΕΣΠΑ) (2019)</w:t>
            </w:r>
          </w:p>
        </w:tc>
      </w:tr>
      <w:tr w:rsidR="00B1358D" w:rsidRPr="00C12DEE" w:rsidTr="00F33ACE">
        <w:tc>
          <w:tcPr>
            <w:tcW w:w="1980" w:type="dxa"/>
            <w:tcBorders>
              <w:bottom w:val="single" w:sz="4" w:space="0" w:color="auto"/>
            </w:tcBorders>
          </w:tcPr>
          <w:p w:rsidR="00B1358D" w:rsidRPr="00D207BE" w:rsidRDefault="00B1358D" w:rsidP="00F33ACE">
            <w:pPr>
              <w:jc w:val="right"/>
              <w:rPr>
                <w:b/>
                <w:sz w:val="20"/>
                <w:szCs w:val="20"/>
              </w:rPr>
            </w:pPr>
            <w:r w:rsidRPr="00D207BE">
              <w:rPr>
                <w:b/>
                <w:sz w:val="20"/>
                <w:szCs w:val="20"/>
              </w:rPr>
              <w:t>Διακρίσεις:</w:t>
            </w:r>
          </w:p>
        </w:tc>
        <w:tc>
          <w:tcPr>
            <w:tcW w:w="7648" w:type="dxa"/>
            <w:gridSpan w:val="2"/>
            <w:tcBorders>
              <w:top w:val="nil"/>
              <w:bottom w:val="single" w:sz="4" w:space="0" w:color="auto"/>
            </w:tcBorders>
          </w:tcPr>
          <w:p w:rsidR="00B1358D" w:rsidRDefault="00B1358D" w:rsidP="00F33ACE">
            <w:pPr>
              <w:pStyle w:val="a4"/>
              <w:numPr>
                <w:ilvl w:val="0"/>
                <w:numId w:val="3"/>
              </w:numPr>
              <w:spacing w:after="0" w:line="240" w:lineRule="auto"/>
              <w:ind w:left="317" w:hanging="317"/>
              <w:jc w:val="both"/>
              <w:rPr>
                <w:sz w:val="20"/>
                <w:szCs w:val="20"/>
                <w:lang w:val="en-US"/>
              </w:rPr>
            </w:pPr>
            <w:r>
              <w:rPr>
                <w:sz w:val="20"/>
                <w:szCs w:val="20"/>
                <w:lang w:val="en-US"/>
              </w:rPr>
              <w:t>Top reviewer for Engineering and for Environment 2018 (Clarivate Analytics – Publons)</w:t>
            </w:r>
          </w:p>
          <w:p w:rsidR="00B1358D" w:rsidRPr="007855D7" w:rsidRDefault="00B1358D" w:rsidP="00F33ACE">
            <w:pPr>
              <w:pStyle w:val="a4"/>
              <w:numPr>
                <w:ilvl w:val="0"/>
                <w:numId w:val="3"/>
              </w:numPr>
              <w:spacing w:after="0" w:line="240" w:lineRule="auto"/>
              <w:ind w:left="317" w:hanging="317"/>
              <w:jc w:val="both"/>
              <w:rPr>
                <w:sz w:val="20"/>
                <w:szCs w:val="20"/>
                <w:lang w:val="en-US"/>
              </w:rPr>
            </w:pPr>
            <w:r>
              <w:rPr>
                <w:sz w:val="20"/>
                <w:szCs w:val="20"/>
              </w:rPr>
              <w:t>Μεταδιδακτορική</w:t>
            </w:r>
            <w:r w:rsidRPr="00FF7C9B">
              <w:rPr>
                <w:sz w:val="20"/>
                <w:szCs w:val="20"/>
                <w:lang w:val="en-US"/>
              </w:rPr>
              <w:t xml:space="preserve"> </w:t>
            </w:r>
            <w:r>
              <w:rPr>
                <w:sz w:val="20"/>
                <w:szCs w:val="20"/>
              </w:rPr>
              <w:t>υποτροφία</w:t>
            </w:r>
            <w:r w:rsidRPr="00FF7C9B">
              <w:rPr>
                <w:sz w:val="20"/>
                <w:szCs w:val="20"/>
                <w:lang w:val="en-US"/>
              </w:rPr>
              <w:t xml:space="preserve"> </w:t>
            </w:r>
            <w:r>
              <w:rPr>
                <w:sz w:val="20"/>
                <w:szCs w:val="20"/>
                <w:lang w:val="en-US"/>
              </w:rPr>
              <w:t>Marie Curie Individual Fellowship (IF,2018)</w:t>
            </w:r>
          </w:p>
          <w:p w:rsidR="00B1358D" w:rsidRPr="000A1440" w:rsidRDefault="00B1358D" w:rsidP="00F33ACE">
            <w:pPr>
              <w:pStyle w:val="a4"/>
              <w:numPr>
                <w:ilvl w:val="0"/>
                <w:numId w:val="3"/>
              </w:numPr>
              <w:spacing w:after="0" w:line="240" w:lineRule="auto"/>
              <w:ind w:left="317" w:hanging="317"/>
              <w:jc w:val="both"/>
              <w:rPr>
                <w:sz w:val="20"/>
                <w:szCs w:val="20"/>
              </w:rPr>
            </w:pPr>
            <w:r>
              <w:rPr>
                <w:sz w:val="20"/>
                <w:szCs w:val="20"/>
              </w:rPr>
              <w:t xml:space="preserve">Μεταδιδακτορική υποτροφία αριστείας </w:t>
            </w:r>
            <w:r>
              <w:rPr>
                <w:sz w:val="20"/>
                <w:szCs w:val="20"/>
                <w:lang w:val="en-US"/>
              </w:rPr>
              <w:t>IKY</w:t>
            </w:r>
            <w:r w:rsidRPr="000A1440">
              <w:rPr>
                <w:sz w:val="20"/>
                <w:szCs w:val="20"/>
              </w:rPr>
              <w:t xml:space="preserve"> </w:t>
            </w:r>
            <w:r>
              <w:rPr>
                <w:sz w:val="20"/>
                <w:szCs w:val="20"/>
                <w:lang w:val="en-US"/>
              </w:rPr>
              <w:t>SI</w:t>
            </w:r>
            <w:r>
              <w:rPr>
                <w:sz w:val="20"/>
                <w:szCs w:val="20"/>
              </w:rPr>
              <w:t>Ε</w:t>
            </w:r>
            <w:r>
              <w:rPr>
                <w:sz w:val="20"/>
                <w:szCs w:val="20"/>
                <w:lang w:val="en-US"/>
              </w:rPr>
              <w:t>MENS</w:t>
            </w:r>
            <w:r w:rsidRPr="000A1440">
              <w:rPr>
                <w:sz w:val="20"/>
                <w:szCs w:val="20"/>
              </w:rPr>
              <w:t xml:space="preserve"> (2017)</w:t>
            </w:r>
          </w:p>
          <w:p w:rsidR="00B1358D" w:rsidRDefault="00B1358D" w:rsidP="00F33ACE">
            <w:pPr>
              <w:pStyle w:val="a4"/>
              <w:numPr>
                <w:ilvl w:val="0"/>
                <w:numId w:val="3"/>
              </w:numPr>
              <w:spacing w:after="0" w:line="240" w:lineRule="auto"/>
              <w:ind w:left="317" w:hanging="317"/>
              <w:jc w:val="both"/>
              <w:rPr>
                <w:sz w:val="20"/>
                <w:szCs w:val="20"/>
                <w:lang w:val="en-US"/>
              </w:rPr>
            </w:pPr>
            <w:r>
              <w:rPr>
                <w:sz w:val="20"/>
                <w:szCs w:val="20"/>
              </w:rPr>
              <w:t>Μεταδιδακτορική</w:t>
            </w:r>
            <w:r w:rsidRPr="00FF5361">
              <w:rPr>
                <w:sz w:val="20"/>
                <w:szCs w:val="20"/>
                <w:lang w:val="en-US"/>
              </w:rPr>
              <w:t xml:space="preserve"> </w:t>
            </w:r>
            <w:r>
              <w:rPr>
                <w:sz w:val="20"/>
                <w:szCs w:val="20"/>
              </w:rPr>
              <w:t>υποτροφία</w:t>
            </w:r>
            <w:r w:rsidRPr="00FF5361">
              <w:rPr>
                <w:sz w:val="20"/>
                <w:szCs w:val="20"/>
                <w:lang w:val="en-US"/>
              </w:rPr>
              <w:t xml:space="preserve"> </w:t>
            </w:r>
            <w:r>
              <w:rPr>
                <w:sz w:val="20"/>
                <w:szCs w:val="20"/>
                <w:lang w:val="en-US"/>
              </w:rPr>
              <w:t>TUBITAK International Researchers 2216 (2016)</w:t>
            </w:r>
          </w:p>
          <w:p w:rsidR="00B1358D" w:rsidRPr="007855D7" w:rsidRDefault="00B1358D" w:rsidP="00F33ACE">
            <w:pPr>
              <w:pStyle w:val="a4"/>
              <w:numPr>
                <w:ilvl w:val="0"/>
                <w:numId w:val="3"/>
              </w:numPr>
              <w:spacing w:after="0" w:line="240" w:lineRule="auto"/>
              <w:ind w:left="317" w:hanging="317"/>
              <w:jc w:val="both"/>
              <w:rPr>
                <w:sz w:val="20"/>
                <w:szCs w:val="20"/>
                <w:lang w:val="en-US"/>
              </w:rPr>
            </w:pPr>
            <w:r w:rsidRPr="00AA5E28">
              <w:rPr>
                <w:sz w:val="20"/>
                <w:szCs w:val="20"/>
              </w:rPr>
              <w:lastRenderedPageBreak/>
              <w:t>Μεταδιδακτορική υποτροφία Κ.Καραθεοδωρή,  (2</w:t>
            </w:r>
            <w:r w:rsidRPr="00AA5E28">
              <w:rPr>
                <w:sz w:val="20"/>
                <w:szCs w:val="20"/>
                <w:lang w:val="en-US"/>
              </w:rPr>
              <w:t>014)</w:t>
            </w:r>
            <w:r>
              <w:rPr>
                <w:sz w:val="20"/>
                <w:szCs w:val="20"/>
              </w:rPr>
              <w:t xml:space="preserve">                                                                 </w:t>
            </w:r>
          </w:p>
        </w:tc>
      </w:tr>
    </w:tbl>
    <w:p w:rsidR="00D96192" w:rsidRDefault="00B1358D" w:rsidP="00B1358D">
      <w:r>
        <w:lastRenderedPageBreak/>
        <w:br w:type="page"/>
      </w:r>
    </w:p>
    <w:sectPr w:rsidR="00D96192" w:rsidSect="00FF5361">
      <w:pgSz w:w="11906" w:h="16838"/>
      <w:pgMar w:top="28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D7543"/>
    <w:multiLevelType w:val="hybridMultilevel"/>
    <w:tmpl w:val="A9909994"/>
    <w:lvl w:ilvl="0" w:tplc="0408000F">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FC2616E"/>
    <w:multiLevelType w:val="hybridMultilevel"/>
    <w:tmpl w:val="2B7A6D9E"/>
    <w:lvl w:ilvl="0" w:tplc="0408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C06FBD"/>
    <w:multiLevelType w:val="hybridMultilevel"/>
    <w:tmpl w:val="8080102C"/>
    <w:lvl w:ilvl="0" w:tplc="0409000F">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M1NzAxNzWxNDQzNjVV0lEKTi0uzszPAykwrAUAPFxKeCwAAAA="/>
  </w:docVars>
  <w:rsids>
    <w:rsidRoot w:val="00B1358D"/>
    <w:rsid w:val="00B1358D"/>
    <w:rsid w:val="00D96192"/>
    <w:rsid w:val="00DA75B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5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3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1358D"/>
    <w:pPr>
      <w:spacing w:after="200" w:line="276" w:lineRule="auto"/>
      <w:ind w:left="720"/>
      <w:contextualSpacing/>
    </w:pPr>
  </w:style>
  <w:style w:type="paragraph" w:styleId="a5">
    <w:name w:val="Balloon Text"/>
    <w:basedOn w:val="a"/>
    <w:link w:val="Char"/>
    <w:uiPriority w:val="99"/>
    <w:semiHidden/>
    <w:unhideWhenUsed/>
    <w:rsid w:val="00DA75B3"/>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DA75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5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3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1358D"/>
    <w:pPr>
      <w:spacing w:after="200" w:line="276" w:lineRule="auto"/>
      <w:ind w:left="720"/>
      <w:contextualSpacing/>
    </w:pPr>
  </w:style>
  <w:style w:type="paragraph" w:styleId="a5">
    <w:name w:val="Balloon Text"/>
    <w:basedOn w:val="a"/>
    <w:link w:val="Char"/>
    <w:uiPriority w:val="99"/>
    <w:semiHidden/>
    <w:unhideWhenUsed/>
    <w:rsid w:val="00DA75B3"/>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DA75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3644</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Zacharias Fron</dc:creator>
  <cp:lastModifiedBy>Κώστας</cp:lastModifiedBy>
  <cp:revision>2</cp:revision>
  <dcterms:created xsi:type="dcterms:W3CDTF">2019-07-04T16:33:00Z</dcterms:created>
  <dcterms:modified xsi:type="dcterms:W3CDTF">2019-07-04T16:33:00Z</dcterms:modified>
</cp:coreProperties>
</file>